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63361" w14:textId="77777777" w:rsidR="004F7218" w:rsidRPr="004F7218" w:rsidRDefault="004F7218" w:rsidP="004F7218">
      <w:pPr>
        <w:pStyle w:val="panel-message-title"/>
        <w:shd w:val="clear" w:color="auto" w:fill="E2F5FD"/>
        <w:spacing w:before="0" w:beforeAutospacing="0" w:after="150" w:afterAutospacing="0"/>
        <w:textAlignment w:val="center"/>
        <w:rPr>
          <w:b/>
          <w:bCs/>
          <w:color w:val="303233"/>
          <w:sz w:val="30"/>
          <w:szCs w:val="30"/>
          <w:lang w:val="es-ES"/>
        </w:rPr>
      </w:pPr>
      <w:r w:rsidRPr="004F7218">
        <w:rPr>
          <w:b/>
          <w:bCs/>
          <w:color w:val="303233"/>
          <w:sz w:val="30"/>
          <w:szCs w:val="30"/>
          <w:lang w:val="es-ES"/>
        </w:rPr>
        <w:t>Test superado </w:t>
      </w:r>
      <w:r w:rsidRPr="004F7218">
        <w:rPr>
          <w:rStyle w:val="panel-message-text"/>
          <w:rFonts w:ascii="Arial" w:hAnsi="Arial" w:cs="Arial"/>
          <w:color w:val="7E8C96"/>
          <w:sz w:val="21"/>
          <w:szCs w:val="21"/>
          <w:lang w:val="es-ES"/>
        </w:rPr>
        <w:t>(2019-11-13 21:31:28)</w:t>
      </w:r>
    </w:p>
    <w:p w14:paraId="0B0DE2E3" w14:textId="77777777" w:rsidR="004F7218" w:rsidRPr="004F7218" w:rsidRDefault="004F7218" w:rsidP="004F7218">
      <w:pPr>
        <w:pStyle w:val="panel-message-subtitle"/>
        <w:shd w:val="clear" w:color="auto" w:fill="E2F5FD"/>
        <w:spacing w:before="0" w:beforeAutospacing="0" w:after="150" w:afterAutospacing="0"/>
        <w:rPr>
          <w:sz w:val="21"/>
          <w:szCs w:val="21"/>
          <w:lang w:val="es-ES"/>
        </w:rPr>
      </w:pPr>
      <w:r w:rsidRPr="004F7218">
        <w:rPr>
          <w:b/>
          <w:bCs/>
          <w:sz w:val="30"/>
          <w:szCs w:val="30"/>
          <w:lang w:val="es-ES"/>
        </w:rPr>
        <w:t>17</w:t>
      </w:r>
      <w:r w:rsidRPr="004F7218">
        <w:rPr>
          <w:sz w:val="21"/>
          <w:szCs w:val="21"/>
          <w:lang w:val="es-ES"/>
        </w:rPr>
        <w:t> respuestas correctas, </w:t>
      </w:r>
      <w:r w:rsidRPr="004F7218">
        <w:rPr>
          <w:b/>
          <w:bCs/>
          <w:sz w:val="30"/>
          <w:szCs w:val="30"/>
          <w:lang w:val="es-ES"/>
        </w:rPr>
        <w:t>3</w:t>
      </w:r>
      <w:r w:rsidRPr="004F7218">
        <w:rPr>
          <w:sz w:val="21"/>
          <w:szCs w:val="21"/>
          <w:lang w:val="es-ES"/>
        </w:rPr>
        <w:t> respuestas incorrectas</w:t>
      </w:r>
    </w:p>
    <w:p w14:paraId="2EC5DF5B" w14:textId="77777777" w:rsidR="004F7218" w:rsidRPr="004F7218" w:rsidRDefault="004F7218" w:rsidP="004F7218">
      <w:pPr>
        <w:pStyle w:val="exam-title"/>
        <w:spacing w:before="0" w:beforeAutospacing="0" w:after="300" w:afterAutospacing="0"/>
        <w:jc w:val="center"/>
        <w:rPr>
          <w:sz w:val="36"/>
          <w:szCs w:val="36"/>
          <w:lang w:val="es-ES"/>
        </w:rPr>
      </w:pPr>
      <w:r w:rsidRPr="004F7218">
        <w:rPr>
          <w:sz w:val="36"/>
          <w:szCs w:val="36"/>
          <w:lang w:val="es-ES"/>
        </w:rPr>
        <w:t>Test Vejiga hiperactiva.</w:t>
      </w:r>
    </w:p>
    <w:p w14:paraId="78166512" w14:textId="4CC0B974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 xml:space="preserve">1. No es cierto en relación con el síndrome de vejiga hiperactiva: </w:t>
      </w:r>
      <w:proofErr w:type="gramStart"/>
      <w:r>
        <w:rPr>
          <w:rFonts w:ascii="Arial" w:hAnsi="Arial" w:cs="Arial"/>
          <w:b/>
          <w:bCs/>
          <w:color w:val="4E5157"/>
          <w:lang w:val="es-ES"/>
        </w:rPr>
        <w:t>( incorrecta</w:t>
      </w:r>
      <w:proofErr w:type="gramEnd"/>
      <w:r>
        <w:rPr>
          <w:rFonts w:ascii="Arial" w:hAnsi="Arial" w:cs="Arial"/>
          <w:b/>
          <w:bCs/>
          <w:color w:val="4E5157"/>
          <w:lang w:val="es-ES"/>
        </w:rPr>
        <w:t>)</w:t>
      </w:r>
      <w:r w:rsidRPr="004F7218">
        <w:rPr>
          <w:rFonts w:ascii="Arial" w:hAnsi="Arial" w:cs="Arial"/>
          <w:b/>
          <w:bCs/>
          <w:color w:val="4E5157"/>
          <w:lang w:val="es-ES"/>
        </w:rPr>
        <w:t>:</w:t>
      </w:r>
    </w:p>
    <w:p w14:paraId="0E305A87" w14:textId="77777777" w:rsidR="004F7218" w:rsidRPr="004F7218" w:rsidRDefault="004F7218" w:rsidP="004F7218">
      <w:pPr>
        <w:pStyle w:val="radio"/>
        <w:numPr>
          <w:ilvl w:val="0"/>
          <w:numId w:val="1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a) La urgencia miccional es el síntoma cardinal</w:t>
      </w:r>
    </w:p>
    <w:p w14:paraId="700DB19A" w14:textId="77777777" w:rsidR="004F7218" w:rsidRPr="004F7218" w:rsidRDefault="004F7218" w:rsidP="004F7218">
      <w:pPr>
        <w:pStyle w:val="radio"/>
        <w:numPr>
          <w:ilvl w:val="0"/>
          <w:numId w:val="1"/>
        </w:numPr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 xml:space="preserve"> b) La hiperactividad vesical es el hallazgo </w:t>
      </w:r>
      <w:proofErr w:type="spellStart"/>
      <w:r w:rsidRPr="004F7218">
        <w:rPr>
          <w:rFonts w:ascii="Arial" w:hAnsi="Arial" w:cs="Arial"/>
          <w:b/>
          <w:bCs/>
          <w:color w:val="4E5157"/>
          <w:lang w:val="es-ES"/>
        </w:rPr>
        <w:t>urodinámico</w:t>
      </w:r>
      <w:proofErr w:type="spellEnd"/>
      <w:r w:rsidRPr="004F7218">
        <w:rPr>
          <w:rFonts w:ascii="Arial" w:hAnsi="Arial" w:cs="Arial"/>
          <w:b/>
          <w:bCs/>
          <w:color w:val="4E5157"/>
          <w:lang w:val="es-ES"/>
        </w:rPr>
        <w:t xml:space="preserve"> más frecuentemente asociado</w:t>
      </w:r>
    </w:p>
    <w:p w14:paraId="58634280" w14:textId="77777777" w:rsidR="004F7218" w:rsidRPr="004F7218" w:rsidRDefault="004F7218" w:rsidP="004F7218">
      <w:pPr>
        <w:pStyle w:val="radio"/>
        <w:numPr>
          <w:ilvl w:val="0"/>
          <w:numId w:val="1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c) A menudo se acompaña de frecuencia miccional</w:t>
      </w:r>
    </w:p>
    <w:p w14:paraId="72FB1585" w14:textId="77777777" w:rsidR="004F7218" w:rsidRPr="004F7218" w:rsidRDefault="004F7218" w:rsidP="004F7218">
      <w:pPr>
        <w:pStyle w:val="radio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d) En más del 90% de los casos se acompaña de incontinencia urinaria de urgencia</w:t>
      </w:r>
    </w:p>
    <w:p w14:paraId="2575742C" w14:textId="44235A9F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2. Es cierto en relación con la epidemiologia de la vejiga hiperactiva y la incontinencia urinaria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 xml:space="preserve">: </w:t>
      </w:r>
      <w:r>
        <w:rPr>
          <w:rFonts w:ascii="Arial" w:hAnsi="Arial" w:cs="Arial"/>
          <w:b/>
          <w:bCs/>
          <w:color w:val="4E5157"/>
          <w:lang w:val="es-ES"/>
        </w:rPr>
        <w:t xml:space="preserve"> (</w:t>
      </w:r>
      <w:proofErr w:type="gramEnd"/>
      <w:r>
        <w:rPr>
          <w:rFonts w:ascii="Arial" w:hAnsi="Arial" w:cs="Arial"/>
          <w:b/>
          <w:bCs/>
          <w:color w:val="4E5157"/>
          <w:lang w:val="es-ES"/>
        </w:rPr>
        <w:t xml:space="preserve"> incorrecta)</w:t>
      </w:r>
    </w:p>
    <w:p w14:paraId="25F68258" w14:textId="77777777" w:rsidR="004F7218" w:rsidRPr="004F7218" w:rsidRDefault="004F7218" w:rsidP="004F7218">
      <w:pPr>
        <w:pStyle w:val="radio"/>
        <w:numPr>
          <w:ilvl w:val="0"/>
          <w:numId w:val="2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a) La prevalencia en la población general europea en diferentes estudios oscila entre 30-35%</w:t>
      </w:r>
    </w:p>
    <w:p w14:paraId="7CF332F2" w14:textId="77777777" w:rsidR="004F7218" w:rsidRPr="004F7218" w:rsidRDefault="004F7218" w:rsidP="004F7218">
      <w:pPr>
        <w:pStyle w:val="radio"/>
        <w:numPr>
          <w:ilvl w:val="0"/>
          <w:numId w:val="2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b) La prevalencia global en España se sitúa entre el 15-20%</w:t>
      </w:r>
    </w:p>
    <w:p w14:paraId="18F66AF9" w14:textId="77777777" w:rsidR="004F7218" w:rsidRPr="004F7218" w:rsidRDefault="004F7218" w:rsidP="004F7218">
      <w:pPr>
        <w:pStyle w:val="radio"/>
        <w:numPr>
          <w:ilvl w:val="0"/>
          <w:numId w:val="2"/>
        </w:numPr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 w:rsidRPr="004F7218">
        <w:rPr>
          <w:rFonts w:ascii="Arial" w:hAnsi="Arial" w:cs="Arial"/>
          <w:b/>
          <w:bCs/>
          <w:color w:val="4E5157"/>
          <w:lang w:val="es-ES"/>
        </w:rPr>
        <w:t>c) Prevalencia global de la incontinencia urinaria en la población femenina en España oscila entre el 35-40%</w:t>
      </w:r>
    </w:p>
    <w:p w14:paraId="40728C14" w14:textId="77777777" w:rsidR="004F7218" w:rsidRPr="004F7218" w:rsidRDefault="004F7218" w:rsidP="004F7218">
      <w:pPr>
        <w:pStyle w:val="radio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d) En la población española la prevalencia de vejiga hiperactiva en mayores de 65 años es mayor en los varones</w:t>
      </w:r>
    </w:p>
    <w:p w14:paraId="0574A8E5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3. De las siguientes entidades clínica, cual se asocia con mayor frecuencia al síndrome de la vejiga hiperactiva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: :</w:t>
      </w:r>
      <w:proofErr w:type="gramEnd"/>
    </w:p>
    <w:p w14:paraId="6780138F" w14:textId="77777777" w:rsidR="004F7218" w:rsidRDefault="004F7218" w:rsidP="004F7218">
      <w:pPr>
        <w:pStyle w:val="radio"/>
        <w:numPr>
          <w:ilvl w:val="0"/>
          <w:numId w:val="3"/>
        </w:numPr>
        <w:spacing w:before="150" w:beforeAutospacing="0" w:after="225" w:afterAutospacing="0"/>
        <w:rPr>
          <w:rFonts w:ascii="Arial" w:hAnsi="Arial" w:cs="Arial"/>
          <w:color w:val="4E5157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>
        <w:rPr>
          <w:rFonts w:ascii="Arial" w:hAnsi="Arial" w:cs="Arial"/>
          <w:color w:val="4E5157"/>
        </w:rPr>
        <w:t xml:space="preserve">a) </w:t>
      </w:r>
      <w:proofErr w:type="spellStart"/>
      <w:r>
        <w:rPr>
          <w:rFonts w:ascii="Arial" w:hAnsi="Arial" w:cs="Arial"/>
          <w:color w:val="4E5157"/>
        </w:rPr>
        <w:t>Caídas</w:t>
      </w:r>
      <w:proofErr w:type="spellEnd"/>
    </w:p>
    <w:p w14:paraId="377B41E5" w14:textId="77777777" w:rsidR="004F7218" w:rsidRPr="004F7218" w:rsidRDefault="004F7218" w:rsidP="004F7218">
      <w:pPr>
        <w:pStyle w:val="radio"/>
        <w:numPr>
          <w:ilvl w:val="0"/>
          <w:numId w:val="3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b) Infecciones de la piel en región genital</w:t>
      </w:r>
    </w:p>
    <w:p w14:paraId="0E9BCC14" w14:textId="77777777" w:rsidR="004F7218" w:rsidRPr="004F7218" w:rsidRDefault="004F7218" w:rsidP="004F7218">
      <w:pPr>
        <w:pStyle w:val="radio"/>
        <w:numPr>
          <w:ilvl w:val="0"/>
          <w:numId w:val="3"/>
        </w:numPr>
        <w:spacing w:before="0" w:beforeAutospacing="0" w:after="225" w:afterAutospacing="0"/>
        <w:rPr>
          <w:rFonts w:ascii="Arial" w:hAnsi="Arial" w:cs="Arial"/>
          <w:color w:val="4E5157"/>
          <w:u w:val="single"/>
        </w:rPr>
      </w:pPr>
      <w:r w:rsidRPr="004F7218">
        <w:rPr>
          <w:rFonts w:ascii="Arial" w:hAnsi="Arial" w:cs="Arial"/>
          <w:color w:val="4E5157"/>
          <w:u w:val="single"/>
          <w:lang w:val="es-ES"/>
        </w:rPr>
        <w:t> </w:t>
      </w:r>
      <w:r w:rsidRPr="004F7218">
        <w:rPr>
          <w:rFonts w:ascii="Arial" w:hAnsi="Arial" w:cs="Arial"/>
          <w:color w:val="4E5157"/>
          <w:u w:val="single"/>
        </w:rPr>
        <w:t xml:space="preserve">c) </w:t>
      </w:r>
      <w:proofErr w:type="spellStart"/>
      <w:r w:rsidRPr="004F7218">
        <w:rPr>
          <w:rFonts w:ascii="Arial" w:hAnsi="Arial" w:cs="Arial"/>
          <w:color w:val="4E5157"/>
          <w:u w:val="single"/>
        </w:rPr>
        <w:t>Infecciones</w:t>
      </w:r>
      <w:proofErr w:type="spellEnd"/>
      <w:r w:rsidRPr="004F7218">
        <w:rPr>
          <w:rFonts w:ascii="Arial" w:hAnsi="Arial" w:cs="Arial"/>
          <w:color w:val="4E5157"/>
          <w:u w:val="single"/>
        </w:rPr>
        <w:t xml:space="preserve"> del </w:t>
      </w:r>
      <w:proofErr w:type="spellStart"/>
      <w:r w:rsidRPr="004F7218">
        <w:rPr>
          <w:rFonts w:ascii="Arial" w:hAnsi="Arial" w:cs="Arial"/>
          <w:color w:val="4E5157"/>
          <w:u w:val="single"/>
        </w:rPr>
        <w:t>tracto</w:t>
      </w:r>
      <w:proofErr w:type="spellEnd"/>
      <w:r w:rsidRPr="004F7218">
        <w:rPr>
          <w:rFonts w:ascii="Arial" w:hAnsi="Arial" w:cs="Arial"/>
          <w:color w:val="4E5157"/>
          <w:u w:val="single"/>
        </w:rPr>
        <w:t xml:space="preserve"> </w:t>
      </w:r>
      <w:proofErr w:type="spellStart"/>
      <w:r w:rsidRPr="004F7218">
        <w:rPr>
          <w:rFonts w:ascii="Arial" w:hAnsi="Arial" w:cs="Arial"/>
          <w:color w:val="4E5157"/>
          <w:u w:val="single"/>
        </w:rPr>
        <w:t>urinario</w:t>
      </w:r>
      <w:proofErr w:type="spellEnd"/>
    </w:p>
    <w:p w14:paraId="09F0E599" w14:textId="77777777" w:rsidR="004F7218" w:rsidRDefault="004F7218" w:rsidP="004F7218">
      <w:pPr>
        <w:pStyle w:val="radio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E5157"/>
        </w:rPr>
      </w:pPr>
      <w:r>
        <w:rPr>
          <w:rFonts w:ascii="Arial" w:hAnsi="Arial" w:cs="Arial"/>
          <w:color w:val="4E5157"/>
        </w:rPr>
        <w:t xml:space="preserve"> d) </w:t>
      </w:r>
      <w:proofErr w:type="spellStart"/>
      <w:r>
        <w:rPr>
          <w:rFonts w:ascii="Arial" w:hAnsi="Arial" w:cs="Arial"/>
          <w:color w:val="4E5157"/>
        </w:rPr>
        <w:t>Incontinencia</w:t>
      </w:r>
      <w:proofErr w:type="spellEnd"/>
      <w:r>
        <w:rPr>
          <w:rFonts w:ascii="Arial" w:hAnsi="Arial" w:cs="Arial"/>
          <w:color w:val="4E5157"/>
        </w:rPr>
        <w:t xml:space="preserve"> anal</w:t>
      </w:r>
    </w:p>
    <w:p w14:paraId="79A4D93F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4. La coordinación del reflejo de la micción se realiza en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: :</w:t>
      </w:r>
      <w:proofErr w:type="gramEnd"/>
    </w:p>
    <w:p w14:paraId="442F4EB5" w14:textId="77777777" w:rsidR="004F7218" w:rsidRDefault="004F7218" w:rsidP="004F7218">
      <w:pPr>
        <w:pStyle w:val="radio"/>
        <w:numPr>
          <w:ilvl w:val="0"/>
          <w:numId w:val="4"/>
        </w:numPr>
        <w:spacing w:before="150" w:beforeAutospacing="0" w:after="225" w:afterAutospacing="0"/>
        <w:rPr>
          <w:rFonts w:ascii="Arial" w:hAnsi="Arial" w:cs="Arial"/>
          <w:color w:val="4E5157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>
        <w:rPr>
          <w:rFonts w:ascii="Arial" w:hAnsi="Arial" w:cs="Arial"/>
          <w:color w:val="4E5157"/>
        </w:rPr>
        <w:t xml:space="preserve">a) </w:t>
      </w:r>
      <w:proofErr w:type="spellStart"/>
      <w:r>
        <w:rPr>
          <w:rFonts w:ascii="Arial" w:hAnsi="Arial" w:cs="Arial"/>
          <w:color w:val="4E5157"/>
        </w:rPr>
        <w:t>Córtex</w:t>
      </w:r>
      <w:proofErr w:type="spellEnd"/>
      <w:r>
        <w:rPr>
          <w:rFonts w:ascii="Arial" w:hAnsi="Arial" w:cs="Arial"/>
          <w:color w:val="4E5157"/>
        </w:rPr>
        <w:t xml:space="preserve"> cerebral</w:t>
      </w:r>
    </w:p>
    <w:p w14:paraId="65EB434D" w14:textId="77777777" w:rsidR="004F7218" w:rsidRPr="004F7218" w:rsidRDefault="004F7218" w:rsidP="004F7218">
      <w:pPr>
        <w:pStyle w:val="radio"/>
        <w:numPr>
          <w:ilvl w:val="0"/>
          <w:numId w:val="4"/>
        </w:numPr>
        <w:spacing w:before="0" w:beforeAutospacing="0" w:after="225" w:afterAutospacing="0"/>
        <w:rPr>
          <w:rFonts w:ascii="Arial" w:hAnsi="Arial" w:cs="Arial"/>
          <w:color w:val="4E5157"/>
          <w:u w:val="single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 w:rsidRPr="004F7218">
        <w:rPr>
          <w:rFonts w:ascii="Arial" w:hAnsi="Arial" w:cs="Arial"/>
          <w:color w:val="4E5157"/>
          <w:u w:val="single"/>
          <w:lang w:val="es-ES"/>
        </w:rPr>
        <w:t xml:space="preserve">b) Centro </w:t>
      </w:r>
      <w:proofErr w:type="spellStart"/>
      <w:r w:rsidRPr="004F7218">
        <w:rPr>
          <w:rFonts w:ascii="Arial" w:hAnsi="Arial" w:cs="Arial"/>
          <w:color w:val="4E5157"/>
          <w:u w:val="single"/>
          <w:lang w:val="es-ES"/>
        </w:rPr>
        <w:t>pontino</w:t>
      </w:r>
      <w:proofErr w:type="spellEnd"/>
      <w:r w:rsidRPr="004F7218">
        <w:rPr>
          <w:rFonts w:ascii="Arial" w:hAnsi="Arial" w:cs="Arial"/>
          <w:color w:val="4E5157"/>
          <w:u w:val="single"/>
          <w:lang w:val="es-ES"/>
        </w:rPr>
        <w:t xml:space="preserve"> de la micción</w:t>
      </w:r>
    </w:p>
    <w:p w14:paraId="0D81E11A" w14:textId="77777777" w:rsidR="004F7218" w:rsidRDefault="004F7218" w:rsidP="004F7218">
      <w:pPr>
        <w:pStyle w:val="radio"/>
        <w:numPr>
          <w:ilvl w:val="0"/>
          <w:numId w:val="4"/>
        </w:numPr>
        <w:spacing w:before="0" w:beforeAutospacing="0" w:after="225" w:afterAutospacing="0"/>
        <w:rPr>
          <w:rFonts w:ascii="Arial" w:hAnsi="Arial" w:cs="Arial"/>
          <w:color w:val="4E5157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>
        <w:rPr>
          <w:rFonts w:ascii="Arial" w:hAnsi="Arial" w:cs="Arial"/>
          <w:color w:val="4E5157"/>
        </w:rPr>
        <w:t xml:space="preserve">c) Centro </w:t>
      </w:r>
      <w:proofErr w:type="spellStart"/>
      <w:r>
        <w:rPr>
          <w:rFonts w:ascii="Arial" w:hAnsi="Arial" w:cs="Arial"/>
          <w:color w:val="4E5157"/>
        </w:rPr>
        <w:t>simpático</w:t>
      </w:r>
      <w:proofErr w:type="spellEnd"/>
      <w:r>
        <w:rPr>
          <w:rFonts w:ascii="Arial" w:hAnsi="Arial" w:cs="Arial"/>
          <w:color w:val="4E5157"/>
        </w:rPr>
        <w:t xml:space="preserve"> </w:t>
      </w:r>
      <w:proofErr w:type="spellStart"/>
      <w:r>
        <w:rPr>
          <w:rFonts w:ascii="Arial" w:hAnsi="Arial" w:cs="Arial"/>
          <w:color w:val="4E5157"/>
        </w:rPr>
        <w:t>toraco</w:t>
      </w:r>
      <w:proofErr w:type="spellEnd"/>
      <w:r>
        <w:rPr>
          <w:rFonts w:ascii="Arial" w:hAnsi="Arial" w:cs="Arial"/>
          <w:color w:val="4E5157"/>
        </w:rPr>
        <w:t>-lumbar</w:t>
      </w:r>
    </w:p>
    <w:p w14:paraId="4AA56D26" w14:textId="77777777" w:rsidR="004F7218" w:rsidRPr="004F7218" w:rsidRDefault="004F7218" w:rsidP="004F7218">
      <w:pPr>
        <w:pStyle w:val="radio"/>
        <w:numPr>
          <w:ilvl w:val="0"/>
          <w:numId w:val="4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d) Centro sacro de la micción</w:t>
      </w:r>
    </w:p>
    <w:p w14:paraId="47592851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lastRenderedPageBreak/>
        <w:t>5. En relación con el impacto económico asociado con la VH, indicar que afirmación NO es correcta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: :</w:t>
      </w:r>
      <w:proofErr w:type="gramEnd"/>
    </w:p>
    <w:p w14:paraId="426C7947" w14:textId="77777777" w:rsidR="004F7218" w:rsidRPr="004F7218" w:rsidRDefault="004F7218" w:rsidP="004F7218">
      <w:pPr>
        <w:pStyle w:val="radio"/>
        <w:numPr>
          <w:ilvl w:val="0"/>
          <w:numId w:val="5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a) En España, el coste medio directo se ha estimado en 255€ paciente/año.</w:t>
      </w:r>
    </w:p>
    <w:p w14:paraId="56756811" w14:textId="77777777" w:rsidR="004F7218" w:rsidRPr="004F7218" w:rsidRDefault="004F7218" w:rsidP="004F7218">
      <w:pPr>
        <w:pStyle w:val="radio"/>
        <w:numPr>
          <w:ilvl w:val="0"/>
          <w:numId w:val="5"/>
        </w:numPr>
        <w:spacing w:before="0" w:beforeAutospacing="0" w:after="225" w:afterAutospacing="0"/>
        <w:rPr>
          <w:rFonts w:ascii="Arial" w:hAnsi="Arial" w:cs="Arial"/>
          <w:color w:val="4E5157"/>
          <w:u w:val="single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 w:rsidRPr="004F7218">
        <w:rPr>
          <w:rFonts w:ascii="Arial" w:hAnsi="Arial" w:cs="Arial"/>
          <w:color w:val="4E5157"/>
          <w:u w:val="single"/>
          <w:lang w:val="es-ES"/>
        </w:rPr>
        <w:t>b) El uso de absorbentes no representa una parte relevante en la estimación del coste de la incontinencia urinaria en nuestro medio.</w:t>
      </w:r>
    </w:p>
    <w:p w14:paraId="712634C1" w14:textId="77777777" w:rsidR="004F7218" w:rsidRPr="004F7218" w:rsidRDefault="004F7218" w:rsidP="004F7218">
      <w:pPr>
        <w:pStyle w:val="radio"/>
        <w:numPr>
          <w:ilvl w:val="0"/>
          <w:numId w:val="5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c) El coste anual debido a absentismo /productividad reducida asociado con la VH sería de 142 millones de euros.</w:t>
      </w:r>
    </w:p>
    <w:p w14:paraId="61C2D57C" w14:textId="77777777" w:rsidR="004F7218" w:rsidRPr="004F7218" w:rsidRDefault="004F7218" w:rsidP="004F7218">
      <w:pPr>
        <w:pStyle w:val="radio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 xml:space="preserve"> d) En un estudio realizado en el ámbito de la asistencia primaria en España, se concluye que </w:t>
      </w:r>
      <w:proofErr w:type="spellStart"/>
      <w:r w:rsidRPr="004F7218">
        <w:rPr>
          <w:rFonts w:ascii="Arial" w:hAnsi="Arial" w:cs="Arial"/>
          <w:color w:val="4E5157"/>
          <w:lang w:val="es-ES"/>
        </w:rPr>
        <w:t>fesoterodina</w:t>
      </w:r>
      <w:proofErr w:type="spellEnd"/>
      <w:r w:rsidRPr="004F7218">
        <w:rPr>
          <w:rFonts w:ascii="Arial" w:hAnsi="Arial" w:cs="Arial"/>
          <w:color w:val="4E5157"/>
          <w:lang w:val="es-ES"/>
        </w:rPr>
        <w:t xml:space="preserve"> resulta ser más costo-efectiva que </w:t>
      </w:r>
      <w:proofErr w:type="spellStart"/>
      <w:r w:rsidRPr="004F7218">
        <w:rPr>
          <w:rFonts w:ascii="Arial" w:hAnsi="Arial" w:cs="Arial"/>
          <w:color w:val="4E5157"/>
          <w:lang w:val="es-ES"/>
        </w:rPr>
        <w:t>solifenacina</w:t>
      </w:r>
      <w:proofErr w:type="spellEnd"/>
      <w:r w:rsidRPr="004F7218">
        <w:rPr>
          <w:rFonts w:ascii="Arial" w:hAnsi="Arial" w:cs="Arial"/>
          <w:color w:val="4E5157"/>
          <w:lang w:val="es-ES"/>
        </w:rPr>
        <w:t xml:space="preserve"> y que tolterodina genérica debido a un menor uso de recursos sanitarios.</w:t>
      </w:r>
    </w:p>
    <w:p w14:paraId="0A84DC2D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6. ¿Cuál de las siguientes pruebas NO es opcional en el diagnóstico de la VH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? :</w:t>
      </w:r>
      <w:proofErr w:type="gramEnd"/>
    </w:p>
    <w:p w14:paraId="25FF73EE" w14:textId="77777777" w:rsidR="004F7218" w:rsidRPr="004F7218" w:rsidRDefault="004F7218" w:rsidP="004F7218">
      <w:pPr>
        <w:pStyle w:val="radio"/>
        <w:numPr>
          <w:ilvl w:val="0"/>
          <w:numId w:val="6"/>
        </w:numPr>
        <w:spacing w:before="150" w:beforeAutospacing="0" w:after="225" w:afterAutospacing="0"/>
        <w:rPr>
          <w:rFonts w:ascii="Arial" w:hAnsi="Arial" w:cs="Arial"/>
          <w:color w:val="4E5157"/>
          <w:u w:val="single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 w:rsidRPr="004F7218">
        <w:rPr>
          <w:rFonts w:ascii="Arial" w:hAnsi="Arial" w:cs="Arial"/>
          <w:color w:val="4E5157"/>
          <w:u w:val="single"/>
        </w:rPr>
        <w:t xml:space="preserve">a) </w:t>
      </w:r>
      <w:proofErr w:type="spellStart"/>
      <w:r w:rsidRPr="004F7218">
        <w:rPr>
          <w:rFonts w:ascii="Arial" w:hAnsi="Arial" w:cs="Arial"/>
          <w:color w:val="4E5157"/>
          <w:u w:val="single"/>
        </w:rPr>
        <w:t>Análisis</w:t>
      </w:r>
      <w:proofErr w:type="spellEnd"/>
      <w:r w:rsidRPr="004F7218">
        <w:rPr>
          <w:rFonts w:ascii="Arial" w:hAnsi="Arial" w:cs="Arial"/>
          <w:color w:val="4E5157"/>
          <w:u w:val="single"/>
        </w:rPr>
        <w:t xml:space="preserve"> de </w:t>
      </w:r>
      <w:proofErr w:type="spellStart"/>
      <w:r w:rsidRPr="004F7218">
        <w:rPr>
          <w:rFonts w:ascii="Arial" w:hAnsi="Arial" w:cs="Arial"/>
          <w:color w:val="4E5157"/>
          <w:u w:val="single"/>
        </w:rPr>
        <w:t>orina</w:t>
      </w:r>
      <w:proofErr w:type="spellEnd"/>
      <w:r w:rsidRPr="004F7218">
        <w:rPr>
          <w:rFonts w:ascii="Arial" w:hAnsi="Arial" w:cs="Arial"/>
          <w:color w:val="4E5157"/>
          <w:u w:val="single"/>
        </w:rPr>
        <w:t>.</w:t>
      </w:r>
    </w:p>
    <w:p w14:paraId="540F332C" w14:textId="77777777" w:rsidR="004F7218" w:rsidRDefault="004F7218" w:rsidP="004F7218">
      <w:pPr>
        <w:pStyle w:val="radio"/>
        <w:numPr>
          <w:ilvl w:val="0"/>
          <w:numId w:val="6"/>
        </w:numPr>
        <w:spacing w:before="0" w:beforeAutospacing="0" w:after="225" w:afterAutospacing="0"/>
        <w:rPr>
          <w:rFonts w:ascii="Arial" w:hAnsi="Arial" w:cs="Arial"/>
          <w:color w:val="4E5157"/>
        </w:rPr>
      </w:pPr>
      <w:r>
        <w:rPr>
          <w:rFonts w:ascii="Arial" w:hAnsi="Arial" w:cs="Arial"/>
          <w:color w:val="4E5157"/>
        </w:rPr>
        <w:t xml:space="preserve"> b) </w:t>
      </w:r>
      <w:proofErr w:type="spellStart"/>
      <w:r>
        <w:rPr>
          <w:rFonts w:ascii="Arial" w:hAnsi="Arial" w:cs="Arial"/>
          <w:color w:val="4E5157"/>
        </w:rPr>
        <w:t>Uroflujometría</w:t>
      </w:r>
      <w:proofErr w:type="spellEnd"/>
      <w:r>
        <w:rPr>
          <w:rFonts w:ascii="Arial" w:hAnsi="Arial" w:cs="Arial"/>
          <w:color w:val="4E5157"/>
        </w:rPr>
        <w:t>.</w:t>
      </w:r>
    </w:p>
    <w:p w14:paraId="662B0449" w14:textId="77777777" w:rsidR="004F7218" w:rsidRDefault="004F7218" w:rsidP="004F7218">
      <w:pPr>
        <w:pStyle w:val="radio"/>
        <w:numPr>
          <w:ilvl w:val="0"/>
          <w:numId w:val="6"/>
        </w:numPr>
        <w:spacing w:before="0" w:beforeAutospacing="0" w:after="225" w:afterAutospacing="0"/>
        <w:rPr>
          <w:rFonts w:ascii="Arial" w:hAnsi="Arial" w:cs="Arial"/>
          <w:color w:val="4E5157"/>
        </w:rPr>
      </w:pPr>
      <w:r>
        <w:rPr>
          <w:rFonts w:ascii="Arial" w:hAnsi="Arial" w:cs="Arial"/>
          <w:color w:val="4E5157"/>
        </w:rPr>
        <w:t> c) TAC.</w:t>
      </w:r>
    </w:p>
    <w:p w14:paraId="1B50548A" w14:textId="77777777" w:rsidR="004F7218" w:rsidRDefault="004F7218" w:rsidP="004F7218">
      <w:pPr>
        <w:pStyle w:val="radio"/>
        <w:numPr>
          <w:ilvl w:val="0"/>
          <w:numId w:val="6"/>
        </w:numPr>
        <w:spacing w:before="0" w:beforeAutospacing="0" w:after="0" w:afterAutospacing="0"/>
        <w:rPr>
          <w:rFonts w:ascii="Arial" w:hAnsi="Arial" w:cs="Arial"/>
          <w:color w:val="4E5157"/>
        </w:rPr>
      </w:pPr>
      <w:r>
        <w:rPr>
          <w:rFonts w:ascii="Arial" w:hAnsi="Arial" w:cs="Arial"/>
          <w:color w:val="4E5157"/>
        </w:rPr>
        <w:t xml:space="preserve"> d) </w:t>
      </w:r>
      <w:proofErr w:type="spellStart"/>
      <w:r>
        <w:rPr>
          <w:rFonts w:ascii="Arial" w:hAnsi="Arial" w:cs="Arial"/>
          <w:color w:val="4E5157"/>
        </w:rPr>
        <w:t>Uretrocistoscopia</w:t>
      </w:r>
      <w:proofErr w:type="spellEnd"/>
      <w:r>
        <w:rPr>
          <w:rFonts w:ascii="Arial" w:hAnsi="Arial" w:cs="Arial"/>
          <w:color w:val="4E5157"/>
        </w:rPr>
        <w:t>.</w:t>
      </w:r>
    </w:p>
    <w:p w14:paraId="73C7FACF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 xml:space="preserve">7. Una de las siguiente NO es una prueba diagnóstica recomendada como básica en la valoración clínica inicial de un paciente con síntomas urinarios compatibles con vejiga 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hiperactiva::</w:t>
      </w:r>
      <w:proofErr w:type="gramEnd"/>
    </w:p>
    <w:p w14:paraId="59EDDEBE" w14:textId="77777777" w:rsidR="004F7218" w:rsidRPr="004F7218" w:rsidRDefault="004F7218" w:rsidP="004F7218">
      <w:pPr>
        <w:pStyle w:val="radio"/>
        <w:numPr>
          <w:ilvl w:val="0"/>
          <w:numId w:val="7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a) Anamnesis de síntomas del tracto urinario</w:t>
      </w:r>
    </w:p>
    <w:p w14:paraId="15870F7E" w14:textId="77777777" w:rsidR="004F7218" w:rsidRDefault="004F7218" w:rsidP="004F7218">
      <w:pPr>
        <w:pStyle w:val="radio"/>
        <w:numPr>
          <w:ilvl w:val="0"/>
          <w:numId w:val="7"/>
        </w:numPr>
        <w:spacing w:before="0" w:beforeAutospacing="0" w:after="225" w:afterAutospacing="0"/>
        <w:rPr>
          <w:rFonts w:ascii="Arial" w:hAnsi="Arial" w:cs="Arial"/>
          <w:color w:val="4E5157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>
        <w:rPr>
          <w:rFonts w:ascii="Arial" w:hAnsi="Arial" w:cs="Arial"/>
          <w:color w:val="4E5157"/>
        </w:rPr>
        <w:t xml:space="preserve">b) </w:t>
      </w:r>
      <w:proofErr w:type="spellStart"/>
      <w:r>
        <w:rPr>
          <w:rFonts w:ascii="Arial" w:hAnsi="Arial" w:cs="Arial"/>
          <w:color w:val="4E5157"/>
        </w:rPr>
        <w:t>Exploración</w:t>
      </w:r>
      <w:proofErr w:type="spellEnd"/>
      <w:r>
        <w:rPr>
          <w:rFonts w:ascii="Arial" w:hAnsi="Arial" w:cs="Arial"/>
          <w:color w:val="4E5157"/>
        </w:rPr>
        <w:t xml:space="preserve"> </w:t>
      </w:r>
      <w:proofErr w:type="spellStart"/>
      <w:r>
        <w:rPr>
          <w:rFonts w:ascii="Arial" w:hAnsi="Arial" w:cs="Arial"/>
          <w:color w:val="4E5157"/>
        </w:rPr>
        <w:t>abdomino-pélvica</w:t>
      </w:r>
      <w:proofErr w:type="spellEnd"/>
    </w:p>
    <w:p w14:paraId="796A20E6" w14:textId="77777777" w:rsidR="004F7218" w:rsidRPr="004F7218" w:rsidRDefault="004F7218" w:rsidP="004F7218">
      <w:pPr>
        <w:pStyle w:val="radio"/>
        <w:numPr>
          <w:ilvl w:val="0"/>
          <w:numId w:val="7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c) Cumplimentación del cuestionario OAB-V3</w:t>
      </w:r>
    </w:p>
    <w:p w14:paraId="777D065F" w14:textId="77777777" w:rsidR="004F7218" w:rsidRPr="004F7218" w:rsidRDefault="004F7218" w:rsidP="004F7218">
      <w:pPr>
        <w:pStyle w:val="radio"/>
        <w:numPr>
          <w:ilvl w:val="0"/>
          <w:numId w:val="7"/>
        </w:numPr>
        <w:spacing w:before="0" w:beforeAutospacing="0" w:after="0" w:afterAutospacing="0"/>
        <w:rPr>
          <w:rFonts w:ascii="Arial" w:hAnsi="Arial" w:cs="Arial"/>
          <w:color w:val="4E5157"/>
          <w:u w:val="single"/>
          <w:lang w:val="es-ES"/>
        </w:rPr>
      </w:pPr>
      <w:r w:rsidRPr="004F7218">
        <w:rPr>
          <w:rFonts w:ascii="Arial" w:hAnsi="Arial" w:cs="Arial"/>
          <w:color w:val="4E5157"/>
          <w:u w:val="single"/>
          <w:lang w:val="es-ES"/>
        </w:rPr>
        <w:t xml:space="preserve"> d) Medición del residuo </w:t>
      </w:r>
      <w:proofErr w:type="spellStart"/>
      <w:r w:rsidRPr="004F7218">
        <w:rPr>
          <w:rFonts w:ascii="Arial" w:hAnsi="Arial" w:cs="Arial"/>
          <w:color w:val="4E5157"/>
          <w:u w:val="single"/>
          <w:lang w:val="es-ES"/>
        </w:rPr>
        <w:t>posmiccional</w:t>
      </w:r>
      <w:proofErr w:type="spellEnd"/>
      <w:r w:rsidRPr="004F7218">
        <w:rPr>
          <w:rFonts w:ascii="Arial" w:hAnsi="Arial" w:cs="Arial"/>
          <w:color w:val="4E5157"/>
          <w:u w:val="single"/>
          <w:lang w:val="es-ES"/>
        </w:rPr>
        <w:t xml:space="preserve"> mediante ecografía reno-vesical</w:t>
      </w:r>
    </w:p>
    <w:p w14:paraId="126A5D3B" w14:textId="77777777" w:rsid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 xml:space="preserve">8. ¿Cuál de las siguientes actividades podría desencadenar un episodio de incontinencia urinaria de esfuerzo? </w:t>
      </w:r>
      <w:r>
        <w:rPr>
          <w:rFonts w:ascii="Arial" w:hAnsi="Arial" w:cs="Arial"/>
          <w:b/>
          <w:bCs/>
          <w:color w:val="4E5157"/>
        </w:rPr>
        <w:t xml:space="preserve">(una </w:t>
      </w:r>
      <w:proofErr w:type="spellStart"/>
      <w:r>
        <w:rPr>
          <w:rFonts w:ascii="Arial" w:hAnsi="Arial" w:cs="Arial"/>
          <w:b/>
          <w:bCs/>
          <w:color w:val="4E5157"/>
        </w:rPr>
        <w:t>única</w:t>
      </w:r>
      <w:proofErr w:type="spellEnd"/>
      <w:r>
        <w:rPr>
          <w:rFonts w:ascii="Arial" w:hAnsi="Arial" w:cs="Arial"/>
          <w:b/>
          <w:bCs/>
          <w:color w:val="4E5157"/>
        </w:rPr>
        <w:t xml:space="preserve"> </w:t>
      </w:r>
      <w:proofErr w:type="spellStart"/>
      <w:r>
        <w:rPr>
          <w:rFonts w:ascii="Arial" w:hAnsi="Arial" w:cs="Arial"/>
          <w:b/>
          <w:bCs/>
          <w:color w:val="4E5157"/>
        </w:rPr>
        <w:t>respuesta</w:t>
      </w:r>
      <w:proofErr w:type="spellEnd"/>
      <w:r>
        <w:rPr>
          <w:rFonts w:ascii="Arial" w:hAnsi="Arial" w:cs="Arial"/>
          <w:b/>
          <w:bCs/>
          <w:color w:val="4E5157"/>
        </w:rPr>
        <w:t>)</w:t>
      </w:r>
      <w:proofErr w:type="gramStart"/>
      <w:r>
        <w:rPr>
          <w:rFonts w:ascii="Arial" w:hAnsi="Arial" w:cs="Arial"/>
          <w:b/>
          <w:bCs/>
          <w:color w:val="4E5157"/>
        </w:rPr>
        <w:t>: :</w:t>
      </w:r>
      <w:proofErr w:type="gramEnd"/>
    </w:p>
    <w:p w14:paraId="15875782" w14:textId="77777777" w:rsidR="004F7218" w:rsidRDefault="004F7218" w:rsidP="004F7218">
      <w:pPr>
        <w:pStyle w:val="radio"/>
        <w:numPr>
          <w:ilvl w:val="0"/>
          <w:numId w:val="8"/>
        </w:numPr>
        <w:spacing w:before="150" w:beforeAutospacing="0" w:after="225" w:afterAutospacing="0"/>
        <w:rPr>
          <w:rFonts w:ascii="Arial" w:hAnsi="Arial" w:cs="Arial"/>
          <w:color w:val="4E5157"/>
        </w:rPr>
      </w:pPr>
      <w:r>
        <w:rPr>
          <w:rFonts w:ascii="Arial" w:hAnsi="Arial" w:cs="Arial"/>
          <w:color w:val="4E5157"/>
        </w:rPr>
        <w:t xml:space="preserve"> a) </w:t>
      </w:r>
      <w:proofErr w:type="spellStart"/>
      <w:r>
        <w:rPr>
          <w:rFonts w:ascii="Arial" w:hAnsi="Arial" w:cs="Arial"/>
          <w:color w:val="4E5157"/>
        </w:rPr>
        <w:t>Tos</w:t>
      </w:r>
      <w:proofErr w:type="spellEnd"/>
      <w:r>
        <w:rPr>
          <w:rFonts w:ascii="Arial" w:hAnsi="Arial" w:cs="Arial"/>
          <w:color w:val="4E5157"/>
        </w:rPr>
        <w:t>.</w:t>
      </w:r>
    </w:p>
    <w:p w14:paraId="0434DD1D" w14:textId="77777777" w:rsidR="004F7218" w:rsidRDefault="004F7218" w:rsidP="004F7218">
      <w:pPr>
        <w:pStyle w:val="radio"/>
        <w:numPr>
          <w:ilvl w:val="0"/>
          <w:numId w:val="8"/>
        </w:numPr>
        <w:spacing w:before="0" w:beforeAutospacing="0" w:after="225" w:afterAutospacing="0"/>
        <w:rPr>
          <w:rFonts w:ascii="Arial" w:hAnsi="Arial" w:cs="Arial"/>
          <w:color w:val="4E5157"/>
        </w:rPr>
      </w:pPr>
      <w:r>
        <w:rPr>
          <w:rFonts w:ascii="Arial" w:hAnsi="Arial" w:cs="Arial"/>
          <w:color w:val="4E5157"/>
        </w:rPr>
        <w:t xml:space="preserve"> b) </w:t>
      </w:r>
      <w:proofErr w:type="spellStart"/>
      <w:r>
        <w:rPr>
          <w:rFonts w:ascii="Arial" w:hAnsi="Arial" w:cs="Arial"/>
          <w:color w:val="4E5157"/>
        </w:rPr>
        <w:t>Ejercicio</w:t>
      </w:r>
      <w:proofErr w:type="spellEnd"/>
      <w:r>
        <w:rPr>
          <w:rFonts w:ascii="Arial" w:hAnsi="Arial" w:cs="Arial"/>
          <w:color w:val="4E5157"/>
        </w:rPr>
        <w:t xml:space="preserve"> </w:t>
      </w:r>
      <w:proofErr w:type="spellStart"/>
      <w:r>
        <w:rPr>
          <w:rFonts w:ascii="Arial" w:hAnsi="Arial" w:cs="Arial"/>
          <w:color w:val="4E5157"/>
        </w:rPr>
        <w:t>físico</w:t>
      </w:r>
      <w:proofErr w:type="spellEnd"/>
    </w:p>
    <w:p w14:paraId="7B134E90" w14:textId="77777777" w:rsidR="004F7218" w:rsidRPr="004F7218" w:rsidRDefault="004F7218" w:rsidP="004F7218">
      <w:pPr>
        <w:pStyle w:val="radio"/>
        <w:numPr>
          <w:ilvl w:val="0"/>
          <w:numId w:val="8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c) Estar sentado en una comida, con un grupo de amigos.</w:t>
      </w:r>
    </w:p>
    <w:p w14:paraId="2EB9F0E3" w14:textId="77777777" w:rsidR="004F7218" w:rsidRPr="004F7218" w:rsidRDefault="004F7218" w:rsidP="004F7218">
      <w:pPr>
        <w:pStyle w:val="radio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4E5157"/>
          <w:u w:val="single"/>
          <w:lang w:val="es-ES"/>
        </w:rPr>
      </w:pPr>
      <w:r w:rsidRPr="004F7218">
        <w:rPr>
          <w:rFonts w:ascii="Arial" w:hAnsi="Arial" w:cs="Arial"/>
          <w:color w:val="4E5157"/>
          <w:u w:val="single"/>
          <w:lang w:val="es-ES"/>
        </w:rPr>
        <w:t> d) Sólo a y b son correctas.</w:t>
      </w:r>
    </w:p>
    <w:p w14:paraId="2E5AF0A2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9. ¿En qué situación de las siguientes NO está indicada la remisión de una mujer con clínica de vejiga hiperactiva para realizar un estudio diagnóstico por un especialista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? :</w:t>
      </w:r>
      <w:proofErr w:type="gramEnd"/>
    </w:p>
    <w:p w14:paraId="71CE4B38" w14:textId="77777777" w:rsidR="004F7218" w:rsidRPr="004F7218" w:rsidRDefault="004F7218" w:rsidP="004F7218">
      <w:pPr>
        <w:pStyle w:val="radio"/>
        <w:numPr>
          <w:ilvl w:val="0"/>
          <w:numId w:val="9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a) Prolapso de órganos pélvicos que traspasa el orificio vaginal hacia el exterior.</w:t>
      </w:r>
    </w:p>
    <w:p w14:paraId="1228916B" w14:textId="77777777" w:rsidR="004F7218" w:rsidRPr="004F7218" w:rsidRDefault="004F7218" w:rsidP="004F7218">
      <w:pPr>
        <w:pStyle w:val="radio"/>
        <w:numPr>
          <w:ilvl w:val="0"/>
          <w:numId w:val="9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lastRenderedPageBreak/>
        <w:t> b) Presencia de molestias dolorosas vesicales desde hace 5 meses.</w:t>
      </w:r>
    </w:p>
    <w:p w14:paraId="395F62E7" w14:textId="77777777" w:rsidR="004F7218" w:rsidRPr="004F7218" w:rsidRDefault="004F7218" w:rsidP="004F7218">
      <w:pPr>
        <w:pStyle w:val="radio"/>
        <w:numPr>
          <w:ilvl w:val="0"/>
          <w:numId w:val="9"/>
        </w:numPr>
        <w:spacing w:before="0" w:beforeAutospacing="0" w:after="225" w:afterAutospacing="0"/>
        <w:rPr>
          <w:rFonts w:ascii="Arial" w:hAnsi="Arial" w:cs="Arial"/>
          <w:color w:val="4E5157"/>
          <w:u w:val="single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 w:rsidRPr="004F7218">
        <w:rPr>
          <w:rFonts w:ascii="Arial" w:hAnsi="Arial" w:cs="Arial"/>
          <w:color w:val="4E5157"/>
          <w:u w:val="single"/>
          <w:lang w:val="es-ES"/>
        </w:rPr>
        <w:t xml:space="preserve">c) Mujer con síntomas de vejiga hiperactiva “de </w:t>
      </w:r>
      <w:proofErr w:type="spellStart"/>
      <w:r w:rsidRPr="004F7218">
        <w:rPr>
          <w:rFonts w:ascii="Arial" w:hAnsi="Arial" w:cs="Arial"/>
          <w:color w:val="4E5157"/>
          <w:u w:val="single"/>
          <w:lang w:val="es-ES"/>
        </w:rPr>
        <w:t>novo</w:t>
      </w:r>
      <w:proofErr w:type="spellEnd"/>
      <w:r w:rsidRPr="004F7218">
        <w:rPr>
          <w:rFonts w:ascii="Arial" w:hAnsi="Arial" w:cs="Arial"/>
          <w:color w:val="4E5157"/>
          <w:u w:val="single"/>
          <w:lang w:val="es-ES"/>
        </w:rPr>
        <w:t xml:space="preserve">” y residuo </w:t>
      </w:r>
      <w:proofErr w:type="spellStart"/>
      <w:r w:rsidRPr="004F7218">
        <w:rPr>
          <w:rFonts w:ascii="Arial" w:hAnsi="Arial" w:cs="Arial"/>
          <w:color w:val="4E5157"/>
          <w:u w:val="single"/>
          <w:lang w:val="es-ES"/>
        </w:rPr>
        <w:t>posmiccional</w:t>
      </w:r>
      <w:proofErr w:type="spellEnd"/>
      <w:r w:rsidRPr="004F7218">
        <w:rPr>
          <w:rFonts w:ascii="Arial" w:hAnsi="Arial" w:cs="Arial"/>
          <w:color w:val="4E5157"/>
          <w:u w:val="single"/>
          <w:lang w:val="es-ES"/>
        </w:rPr>
        <w:t xml:space="preserve"> de &lt;150 </w:t>
      </w:r>
      <w:proofErr w:type="spellStart"/>
      <w:r w:rsidRPr="004F7218">
        <w:rPr>
          <w:rFonts w:ascii="Arial" w:hAnsi="Arial" w:cs="Arial"/>
          <w:color w:val="4E5157"/>
          <w:u w:val="single"/>
          <w:lang w:val="es-ES"/>
        </w:rPr>
        <w:t>cc.</w:t>
      </w:r>
      <w:proofErr w:type="spellEnd"/>
    </w:p>
    <w:p w14:paraId="1B621821" w14:textId="77777777" w:rsidR="004F7218" w:rsidRPr="004F7218" w:rsidRDefault="004F7218" w:rsidP="004F7218">
      <w:pPr>
        <w:pStyle w:val="radio"/>
        <w:numPr>
          <w:ilvl w:val="0"/>
          <w:numId w:val="9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d) Diabética de 13 años de evolución, diagnosticada de neuropatía autonómica 3 años antes.</w:t>
      </w:r>
    </w:p>
    <w:p w14:paraId="1D446628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10. ¿En qué situación de las siguientes NO está indicada la remisión a un especialista?::</w:t>
      </w:r>
    </w:p>
    <w:p w14:paraId="640FE0E6" w14:textId="77777777" w:rsidR="004F7218" w:rsidRPr="004F7218" w:rsidRDefault="004F7218" w:rsidP="004F7218">
      <w:pPr>
        <w:pStyle w:val="radio"/>
        <w:numPr>
          <w:ilvl w:val="0"/>
          <w:numId w:val="10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a) Mujer de 74 años con hematuria persistente.</w:t>
      </w:r>
    </w:p>
    <w:p w14:paraId="5033C5A0" w14:textId="77777777" w:rsidR="004F7218" w:rsidRPr="004F7218" w:rsidRDefault="004F7218" w:rsidP="004F7218">
      <w:pPr>
        <w:pStyle w:val="radio"/>
        <w:numPr>
          <w:ilvl w:val="0"/>
          <w:numId w:val="10"/>
        </w:numPr>
        <w:spacing w:before="0" w:beforeAutospacing="0" w:after="225" w:afterAutospacing="0"/>
        <w:rPr>
          <w:rFonts w:ascii="Arial" w:hAnsi="Arial" w:cs="Arial"/>
          <w:color w:val="4E5157"/>
          <w:u w:val="single"/>
          <w:lang w:val="es-ES"/>
        </w:rPr>
      </w:pPr>
      <w:r w:rsidRPr="004F7218">
        <w:rPr>
          <w:rFonts w:ascii="Arial" w:hAnsi="Arial" w:cs="Arial"/>
          <w:color w:val="4E5157"/>
          <w:u w:val="single"/>
          <w:lang w:val="es-ES"/>
        </w:rPr>
        <w:t> b) Varón de 69 años con HTA controlada y episodios de nocturia.</w:t>
      </w:r>
    </w:p>
    <w:p w14:paraId="6D315E71" w14:textId="77777777" w:rsidR="004F7218" w:rsidRPr="004F7218" w:rsidRDefault="004F7218" w:rsidP="004F7218">
      <w:pPr>
        <w:pStyle w:val="radio"/>
        <w:numPr>
          <w:ilvl w:val="0"/>
          <w:numId w:val="10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c) Paciente con vejiga hiperactiva e incontinencia urinaria, en tratamiento con antimuscarínico con empeoramiento de las pérdidas de orina en los últimos 4 meses</w:t>
      </w:r>
    </w:p>
    <w:p w14:paraId="1A0114A8" w14:textId="77777777" w:rsidR="004F7218" w:rsidRPr="004F7218" w:rsidRDefault="004F7218" w:rsidP="004F7218">
      <w:pPr>
        <w:pStyle w:val="radio"/>
        <w:numPr>
          <w:ilvl w:val="0"/>
          <w:numId w:val="10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 xml:space="preserve"> d) Paciente en tratamiento anticolinérgico con residuo </w:t>
      </w:r>
      <w:proofErr w:type="spellStart"/>
      <w:r w:rsidRPr="004F7218">
        <w:rPr>
          <w:rFonts w:ascii="Arial" w:hAnsi="Arial" w:cs="Arial"/>
          <w:color w:val="4E5157"/>
          <w:lang w:val="es-ES"/>
        </w:rPr>
        <w:t>posmiccional</w:t>
      </w:r>
      <w:proofErr w:type="spellEnd"/>
      <w:r w:rsidRPr="004F7218">
        <w:rPr>
          <w:rFonts w:ascii="Arial" w:hAnsi="Arial" w:cs="Arial"/>
          <w:color w:val="4E5157"/>
          <w:lang w:val="es-ES"/>
        </w:rPr>
        <w:t xml:space="preserve"> de 240 </w:t>
      </w:r>
      <w:proofErr w:type="spellStart"/>
      <w:r w:rsidRPr="004F7218">
        <w:rPr>
          <w:rFonts w:ascii="Arial" w:hAnsi="Arial" w:cs="Arial"/>
          <w:color w:val="4E5157"/>
          <w:lang w:val="es-ES"/>
        </w:rPr>
        <w:t>cc</w:t>
      </w:r>
      <w:proofErr w:type="spellEnd"/>
    </w:p>
    <w:p w14:paraId="36823165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11. Señale la respuesta incorrecta en cuanto al tratamiento conservador de la VH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: :</w:t>
      </w:r>
      <w:proofErr w:type="gramEnd"/>
    </w:p>
    <w:p w14:paraId="3BADCAA8" w14:textId="77777777" w:rsidR="004F7218" w:rsidRPr="004F7218" w:rsidRDefault="004F7218" w:rsidP="004F7218">
      <w:pPr>
        <w:pStyle w:val="radio"/>
        <w:numPr>
          <w:ilvl w:val="0"/>
          <w:numId w:val="11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a) Antes de iniciar un tratamiento farmacológico en los pacientes con VH deberemos plantear un tratamiento conservador como primer nivel de intervención.</w:t>
      </w:r>
    </w:p>
    <w:p w14:paraId="15445624" w14:textId="77777777" w:rsidR="004F7218" w:rsidRPr="004F7218" w:rsidRDefault="004F7218" w:rsidP="004F7218">
      <w:pPr>
        <w:pStyle w:val="radio"/>
        <w:numPr>
          <w:ilvl w:val="0"/>
          <w:numId w:val="11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u w:val="single"/>
          <w:lang w:val="es-ES"/>
        </w:rPr>
        <w:t> b) Los medicamentos son el primer escalón del tratamiento conservador de la VH</w:t>
      </w:r>
      <w:r w:rsidRPr="004F7218">
        <w:rPr>
          <w:rFonts w:ascii="Arial" w:hAnsi="Arial" w:cs="Arial"/>
          <w:color w:val="4E5157"/>
          <w:lang w:val="es-ES"/>
        </w:rPr>
        <w:t>.</w:t>
      </w:r>
    </w:p>
    <w:p w14:paraId="79A96503" w14:textId="77777777" w:rsidR="004F7218" w:rsidRPr="004F7218" w:rsidRDefault="004F7218" w:rsidP="004F7218">
      <w:pPr>
        <w:pStyle w:val="radio"/>
        <w:numPr>
          <w:ilvl w:val="0"/>
          <w:numId w:val="11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c) Es importante que los pacientes incorporen las medidas higiénico-dietéticas en su vida diaria.</w:t>
      </w:r>
    </w:p>
    <w:p w14:paraId="72951E4C" w14:textId="77777777" w:rsidR="004F7218" w:rsidRPr="004F7218" w:rsidRDefault="004F7218" w:rsidP="004F7218">
      <w:pPr>
        <w:pStyle w:val="radio"/>
        <w:numPr>
          <w:ilvl w:val="0"/>
          <w:numId w:val="11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d) Son parte del tratamiento conservador: las medidas higiénico-dietéticas y el entrenamiento vesical.</w:t>
      </w:r>
    </w:p>
    <w:p w14:paraId="5DB82D56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12. En relación a las medidas higiénico-dietéticas, Indique la recomendación que es incorrecta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: :</w:t>
      </w:r>
      <w:proofErr w:type="gramEnd"/>
    </w:p>
    <w:p w14:paraId="7DB03373" w14:textId="77777777" w:rsidR="004F7218" w:rsidRPr="004F7218" w:rsidRDefault="004F7218" w:rsidP="004F7218">
      <w:pPr>
        <w:pStyle w:val="radio"/>
        <w:numPr>
          <w:ilvl w:val="0"/>
          <w:numId w:val="12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a) La pérdida de peso, es de utilidad para mejorar la IU tanto de esfuerzo como de urgencia en los pacientes con obesidad.</w:t>
      </w:r>
    </w:p>
    <w:p w14:paraId="6BB2C29A" w14:textId="77777777" w:rsidR="004F7218" w:rsidRPr="004F7218" w:rsidRDefault="004F7218" w:rsidP="004F7218">
      <w:pPr>
        <w:pStyle w:val="radio"/>
        <w:numPr>
          <w:ilvl w:val="0"/>
          <w:numId w:val="12"/>
        </w:numPr>
        <w:spacing w:before="0" w:beforeAutospacing="0" w:after="225" w:afterAutospacing="0"/>
        <w:rPr>
          <w:rFonts w:ascii="Arial" w:hAnsi="Arial" w:cs="Arial"/>
          <w:color w:val="4E5157"/>
          <w:u w:val="single"/>
          <w:lang w:val="es-ES"/>
        </w:rPr>
      </w:pPr>
      <w:r w:rsidRPr="004F7218">
        <w:rPr>
          <w:rFonts w:ascii="Arial" w:hAnsi="Arial" w:cs="Arial"/>
          <w:color w:val="4E5157"/>
          <w:u w:val="single"/>
          <w:lang w:val="es-ES"/>
        </w:rPr>
        <w:t> b) La ingesta hídrica debe ser la mínima suficiente como para calmar la sed. Según la EAU, esta acción se asocia a una intensidad de recomendación: fuerte.</w:t>
      </w:r>
    </w:p>
    <w:p w14:paraId="43E089A7" w14:textId="77777777" w:rsidR="004F7218" w:rsidRPr="004F7218" w:rsidRDefault="004F7218" w:rsidP="004F7218">
      <w:pPr>
        <w:pStyle w:val="radio"/>
        <w:numPr>
          <w:ilvl w:val="0"/>
          <w:numId w:val="12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c) Intentar suprimir las bebidas que puedan exacerbar la irritación vesical y el aumento de formación de orina como el café, el té, el alcohol y las bebidas carbonatadas.</w:t>
      </w:r>
    </w:p>
    <w:p w14:paraId="180DA150" w14:textId="77777777" w:rsidR="004F7218" w:rsidRPr="004F7218" w:rsidRDefault="004F7218" w:rsidP="004F7218">
      <w:pPr>
        <w:pStyle w:val="radio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d) No hay evidencia que dejar de fumar mejore la IU.</w:t>
      </w:r>
    </w:p>
    <w:p w14:paraId="5DF24524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13. ¿En cuanto al entrenamiento vesical es cierto que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? :</w:t>
      </w:r>
      <w:proofErr w:type="gramEnd"/>
    </w:p>
    <w:p w14:paraId="32535011" w14:textId="77777777" w:rsidR="004F7218" w:rsidRPr="004F7218" w:rsidRDefault="004F7218" w:rsidP="004F7218">
      <w:pPr>
        <w:pStyle w:val="radio"/>
        <w:numPr>
          <w:ilvl w:val="0"/>
          <w:numId w:val="13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lastRenderedPageBreak/>
        <w:t> a) Como carece de efectos adversos no precisa de la colaboración del paciente con VH.</w:t>
      </w:r>
    </w:p>
    <w:p w14:paraId="41337BC9" w14:textId="77777777" w:rsidR="004F7218" w:rsidRPr="004F7218" w:rsidRDefault="004F7218" w:rsidP="004F7218">
      <w:pPr>
        <w:pStyle w:val="radio"/>
        <w:numPr>
          <w:ilvl w:val="0"/>
          <w:numId w:val="13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b) Consiste en la realización de ejercicios de contracción y relajación de la musculatura perineal.</w:t>
      </w:r>
    </w:p>
    <w:p w14:paraId="6F209F2A" w14:textId="77777777" w:rsidR="004F7218" w:rsidRPr="004F7218" w:rsidRDefault="004F7218" w:rsidP="004F7218">
      <w:pPr>
        <w:pStyle w:val="radio"/>
        <w:numPr>
          <w:ilvl w:val="0"/>
          <w:numId w:val="13"/>
        </w:numPr>
        <w:spacing w:before="0" w:beforeAutospacing="0" w:after="225" w:afterAutospacing="0"/>
        <w:rPr>
          <w:rFonts w:ascii="Arial" w:hAnsi="Arial" w:cs="Arial"/>
          <w:color w:val="4E5157"/>
          <w:u w:val="single"/>
          <w:lang w:val="es-ES"/>
        </w:rPr>
      </w:pPr>
      <w:r w:rsidRPr="004F7218">
        <w:rPr>
          <w:rFonts w:ascii="Arial" w:hAnsi="Arial" w:cs="Arial"/>
          <w:color w:val="4E5157"/>
          <w:u w:val="single"/>
          <w:lang w:val="es-ES"/>
        </w:rPr>
        <w:t> c) Uno de los objetivos del entrenamiento vesical es aumentar la capacidad para reducir el número de episodios de IUU y la frecuencia miccional.</w:t>
      </w:r>
    </w:p>
    <w:p w14:paraId="51870398" w14:textId="77777777" w:rsidR="004F7218" w:rsidRPr="004F7218" w:rsidRDefault="004F7218" w:rsidP="004F7218">
      <w:pPr>
        <w:pStyle w:val="radio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d) Su efecto se mantiene después de su finalización.</w:t>
      </w:r>
    </w:p>
    <w:p w14:paraId="43A1C971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14. En relación al tratamiento farmacológico de la vejiga hiperactiva una de estas afirmaciones es FALSA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. :</w:t>
      </w:r>
      <w:proofErr w:type="gramEnd"/>
    </w:p>
    <w:p w14:paraId="30B9CB1E" w14:textId="77777777" w:rsidR="004F7218" w:rsidRPr="004F7218" w:rsidRDefault="004F7218" w:rsidP="004F7218">
      <w:pPr>
        <w:pStyle w:val="radio"/>
        <w:numPr>
          <w:ilvl w:val="0"/>
          <w:numId w:val="14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a) De los distintos tratamientos farmacológicos de la VH, los antimuscarínicos son los fármacos que cuentan con más experiencia a largo plazo.</w:t>
      </w:r>
    </w:p>
    <w:p w14:paraId="62B21A49" w14:textId="77777777" w:rsidR="004F7218" w:rsidRPr="004F7218" w:rsidRDefault="004F7218" w:rsidP="004F7218">
      <w:pPr>
        <w:pStyle w:val="radio"/>
        <w:numPr>
          <w:ilvl w:val="0"/>
          <w:numId w:val="14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b) Es fundamental que tengamos en cuenta la eficacia de los fármacos y su tolerabilidad con el objetivo de conseguir una mayor persistencia en el tratamiento.</w:t>
      </w:r>
    </w:p>
    <w:p w14:paraId="65A73AEF" w14:textId="77777777" w:rsidR="004F7218" w:rsidRPr="004F7218" w:rsidRDefault="004F7218" w:rsidP="004F7218">
      <w:pPr>
        <w:pStyle w:val="radio"/>
        <w:numPr>
          <w:ilvl w:val="0"/>
          <w:numId w:val="14"/>
        </w:numPr>
        <w:spacing w:before="0" w:beforeAutospacing="0" w:after="225" w:afterAutospacing="0"/>
        <w:rPr>
          <w:rFonts w:ascii="Arial" w:hAnsi="Arial" w:cs="Arial"/>
          <w:color w:val="4E5157"/>
          <w:u w:val="single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 w:rsidRPr="004F7218">
        <w:rPr>
          <w:rFonts w:ascii="Arial" w:hAnsi="Arial" w:cs="Arial"/>
          <w:color w:val="4E5157"/>
          <w:u w:val="single"/>
          <w:lang w:val="es-ES"/>
        </w:rPr>
        <w:t>c) Los beta-3-adrenérgicos son fármacos que cuentan con más de diez años de experiencia clínica en España.</w:t>
      </w:r>
    </w:p>
    <w:p w14:paraId="5B8CC98D" w14:textId="77777777" w:rsidR="004F7218" w:rsidRPr="004F7218" w:rsidRDefault="004F7218" w:rsidP="004F7218">
      <w:pPr>
        <w:pStyle w:val="radio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 xml:space="preserve"> d) El aumento de la contractilidad del </w:t>
      </w:r>
      <w:proofErr w:type="spellStart"/>
      <w:r w:rsidRPr="004F7218">
        <w:rPr>
          <w:rFonts w:ascii="Arial" w:hAnsi="Arial" w:cs="Arial"/>
          <w:color w:val="4E5157"/>
          <w:lang w:val="es-ES"/>
        </w:rPr>
        <w:t>detrusor</w:t>
      </w:r>
      <w:proofErr w:type="spellEnd"/>
      <w:r w:rsidRPr="004F7218">
        <w:rPr>
          <w:rFonts w:ascii="Arial" w:hAnsi="Arial" w:cs="Arial"/>
          <w:color w:val="4E5157"/>
          <w:lang w:val="es-ES"/>
        </w:rPr>
        <w:t xml:space="preserve"> en la VH se debería a la hipersensibilidad de los receptores muscarínicos (M2 o M3).</w:t>
      </w:r>
    </w:p>
    <w:p w14:paraId="3A031613" w14:textId="77777777" w:rsid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15. ¿Qué efecto secundario es el más frecuente con el tratamiento con antimuscarínicos?:</w:t>
      </w:r>
    </w:p>
    <w:p w14:paraId="4AC3558B" w14:textId="4369D1A1" w:rsid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color w:val="4E5157"/>
        </w:rPr>
      </w:pPr>
      <w:r>
        <w:rPr>
          <w:rFonts w:ascii="Arial" w:hAnsi="Arial" w:cs="Arial"/>
          <w:b/>
          <w:bCs/>
          <w:color w:val="4E5157"/>
          <w:lang w:val="es-ES"/>
        </w:rPr>
        <w:t xml:space="preserve">       </w:t>
      </w:r>
      <w:r w:rsidRPr="004F7218">
        <w:rPr>
          <w:rFonts w:ascii="Arial" w:hAnsi="Arial" w:cs="Arial"/>
          <w:color w:val="4E5157"/>
          <w:lang w:val="es-ES"/>
        </w:rPr>
        <w:t> </w:t>
      </w:r>
      <w:r>
        <w:rPr>
          <w:rFonts w:ascii="Arial" w:hAnsi="Arial" w:cs="Arial"/>
          <w:color w:val="4E5157"/>
        </w:rPr>
        <w:t xml:space="preserve">a) </w:t>
      </w:r>
      <w:proofErr w:type="spellStart"/>
      <w:r>
        <w:rPr>
          <w:rFonts w:ascii="Arial" w:hAnsi="Arial" w:cs="Arial"/>
          <w:color w:val="4E5157"/>
        </w:rPr>
        <w:t>Visión</w:t>
      </w:r>
      <w:proofErr w:type="spellEnd"/>
      <w:r>
        <w:rPr>
          <w:rFonts w:ascii="Arial" w:hAnsi="Arial" w:cs="Arial"/>
          <w:color w:val="4E5157"/>
        </w:rPr>
        <w:t xml:space="preserve"> </w:t>
      </w:r>
      <w:proofErr w:type="spellStart"/>
      <w:r>
        <w:rPr>
          <w:rFonts w:ascii="Arial" w:hAnsi="Arial" w:cs="Arial"/>
          <w:color w:val="4E5157"/>
        </w:rPr>
        <w:t>borrosa</w:t>
      </w:r>
      <w:proofErr w:type="spellEnd"/>
      <w:r>
        <w:rPr>
          <w:rFonts w:ascii="Arial" w:hAnsi="Arial" w:cs="Arial"/>
          <w:color w:val="4E5157"/>
        </w:rPr>
        <w:t>.</w:t>
      </w:r>
    </w:p>
    <w:p w14:paraId="42B59DCC" w14:textId="77777777" w:rsidR="004F7218" w:rsidRDefault="004F7218" w:rsidP="004F7218">
      <w:pPr>
        <w:pStyle w:val="radio"/>
        <w:numPr>
          <w:ilvl w:val="0"/>
          <w:numId w:val="15"/>
        </w:numPr>
        <w:spacing w:before="0" w:beforeAutospacing="0" w:after="225" w:afterAutospacing="0"/>
        <w:rPr>
          <w:rFonts w:ascii="Arial" w:hAnsi="Arial" w:cs="Arial"/>
          <w:color w:val="4E5157"/>
        </w:rPr>
      </w:pPr>
      <w:r>
        <w:rPr>
          <w:rFonts w:ascii="Arial" w:hAnsi="Arial" w:cs="Arial"/>
          <w:color w:val="4E5157"/>
        </w:rPr>
        <w:t xml:space="preserve"> b) </w:t>
      </w:r>
      <w:proofErr w:type="spellStart"/>
      <w:r>
        <w:rPr>
          <w:rFonts w:ascii="Arial" w:hAnsi="Arial" w:cs="Arial"/>
          <w:color w:val="4E5157"/>
        </w:rPr>
        <w:t>Estreñimiento</w:t>
      </w:r>
      <w:proofErr w:type="spellEnd"/>
      <w:r>
        <w:rPr>
          <w:rFonts w:ascii="Arial" w:hAnsi="Arial" w:cs="Arial"/>
          <w:color w:val="4E5157"/>
        </w:rPr>
        <w:t>.</w:t>
      </w:r>
    </w:p>
    <w:p w14:paraId="4C736EF4" w14:textId="77777777" w:rsidR="004F7218" w:rsidRDefault="004F7218" w:rsidP="004F7218">
      <w:pPr>
        <w:pStyle w:val="radio"/>
        <w:numPr>
          <w:ilvl w:val="0"/>
          <w:numId w:val="15"/>
        </w:numPr>
        <w:spacing w:before="0" w:beforeAutospacing="0" w:after="225" w:afterAutospacing="0"/>
        <w:rPr>
          <w:rFonts w:ascii="Arial" w:hAnsi="Arial" w:cs="Arial"/>
          <w:color w:val="4E5157"/>
        </w:rPr>
      </w:pPr>
      <w:r>
        <w:rPr>
          <w:rFonts w:ascii="Arial" w:hAnsi="Arial" w:cs="Arial"/>
          <w:color w:val="4E5157"/>
        </w:rPr>
        <w:t xml:space="preserve"> c) </w:t>
      </w:r>
      <w:proofErr w:type="spellStart"/>
      <w:r>
        <w:rPr>
          <w:rFonts w:ascii="Arial" w:hAnsi="Arial" w:cs="Arial"/>
          <w:color w:val="4E5157"/>
        </w:rPr>
        <w:t>Dispepsia</w:t>
      </w:r>
      <w:proofErr w:type="spellEnd"/>
      <w:r>
        <w:rPr>
          <w:rFonts w:ascii="Arial" w:hAnsi="Arial" w:cs="Arial"/>
          <w:color w:val="4E5157"/>
        </w:rPr>
        <w:t>.</w:t>
      </w:r>
    </w:p>
    <w:p w14:paraId="03746A4D" w14:textId="77777777" w:rsidR="004F7218" w:rsidRPr="004F7218" w:rsidRDefault="004F7218" w:rsidP="004F7218">
      <w:pPr>
        <w:pStyle w:val="radio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b/>
          <w:bCs/>
          <w:color w:val="4E5157"/>
        </w:rPr>
      </w:pPr>
      <w:r>
        <w:rPr>
          <w:rFonts w:ascii="Arial" w:hAnsi="Arial" w:cs="Arial"/>
          <w:color w:val="4E5157"/>
        </w:rPr>
        <w:t> </w:t>
      </w:r>
      <w:r w:rsidRPr="004F7218">
        <w:rPr>
          <w:rFonts w:ascii="Arial" w:hAnsi="Arial" w:cs="Arial"/>
          <w:b/>
          <w:bCs/>
          <w:color w:val="4E5157"/>
        </w:rPr>
        <w:t>d</w:t>
      </w:r>
      <w:r w:rsidRPr="004F7218">
        <w:rPr>
          <w:rFonts w:ascii="Arial" w:hAnsi="Arial" w:cs="Arial"/>
          <w:color w:val="4E5157"/>
          <w:u w:val="single"/>
        </w:rPr>
        <w:t xml:space="preserve">) </w:t>
      </w:r>
      <w:proofErr w:type="spellStart"/>
      <w:r w:rsidRPr="004F7218">
        <w:rPr>
          <w:rFonts w:ascii="Arial" w:hAnsi="Arial" w:cs="Arial"/>
          <w:color w:val="4E5157"/>
          <w:u w:val="single"/>
        </w:rPr>
        <w:t>Sequedad</w:t>
      </w:r>
      <w:proofErr w:type="spellEnd"/>
      <w:r w:rsidRPr="004F7218">
        <w:rPr>
          <w:rFonts w:ascii="Arial" w:hAnsi="Arial" w:cs="Arial"/>
          <w:color w:val="4E5157"/>
          <w:u w:val="single"/>
        </w:rPr>
        <w:t xml:space="preserve"> </w:t>
      </w:r>
      <w:proofErr w:type="spellStart"/>
      <w:r w:rsidRPr="004F7218">
        <w:rPr>
          <w:rFonts w:ascii="Arial" w:hAnsi="Arial" w:cs="Arial"/>
          <w:color w:val="4E5157"/>
          <w:u w:val="single"/>
        </w:rPr>
        <w:t>bucal</w:t>
      </w:r>
      <w:proofErr w:type="spellEnd"/>
      <w:r w:rsidRPr="004F7218">
        <w:rPr>
          <w:rFonts w:ascii="Arial" w:hAnsi="Arial" w:cs="Arial"/>
          <w:color w:val="4E5157"/>
          <w:u w:val="single"/>
        </w:rPr>
        <w:t>.</w:t>
      </w:r>
    </w:p>
    <w:p w14:paraId="241EAF6A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16. En relación con el tratamiento de la VH, señale la afirmación FALSA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: :</w:t>
      </w:r>
      <w:proofErr w:type="gramEnd"/>
    </w:p>
    <w:p w14:paraId="483C4C20" w14:textId="77777777" w:rsidR="004F7218" w:rsidRPr="004F7218" w:rsidRDefault="004F7218" w:rsidP="004F7218">
      <w:pPr>
        <w:pStyle w:val="radio"/>
        <w:numPr>
          <w:ilvl w:val="0"/>
          <w:numId w:val="16"/>
        </w:numPr>
        <w:spacing w:before="150" w:beforeAutospacing="0" w:after="225" w:afterAutospacing="0"/>
        <w:rPr>
          <w:rFonts w:ascii="Arial" w:hAnsi="Arial" w:cs="Arial"/>
          <w:color w:val="4E5157"/>
          <w:u w:val="single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 w:rsidRPr="004F7218">
        <w:rPr>
          <w:rFonts w:ascii="Arial" w:hAnsi="Arial" w:cs="Arial"/>
          <w:color w:val="4E5157"/>
          <w:u w:val="single"/>
          <w:lang w:val="es-ES"/>
        </w:rPr>
        <w:t xml:space="preserve">a) </w:t>
      </w:r>
      <w:proofErr w:type="spellStart"/>
      <w:r w:rsidRPr="004F7218">
        <w:rPr>
          <w:rFonts w:ascii="Arial" w:hAnsi="Arial" w:cs="Arial"/>
          <w:color w:val="4E5157"/>
          <w:u w:val="single"/>
          <w:lang w:val="es-ES"/>
        </w:rPr>
        <w:t>Mirabegrón</w:t>
      </w:r>
      <w:proofErr w:type="spellEnd"/>
      <w:r w:rsidRPr="004F7218">
        <w:rPr>
          <w:rFonts w:ascii="Arial" w:hAnsi="Arial" w:cs="Arial"/>
          <w:color w:val="4E5157"/>
          <w:u w:val="single"/>
          <w:lang w:val="es-ES"/>
        </w:rPr>
        <w:t xml:space="preserve"> puede emplearse con tranquilidad en pacientes con VH e hipertensión arterial no controlada.</w:t>
      </w:r>
    </w:p>
    <w:p w14:paraId="4C414091" w14:textId="77777777" w:rsidR="004F7218" w:rsidRPr="004F7218" w:rsidRDefault="004F7218" w:rsidP="004F7218">
      <w:pPr>
        <w:pStyle w:val="radio"/>
        <w:numPr>
          <w:ilvl w:val="0"/>
          <w:numId w:val="16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b) Se recomienda ofrecer fármacos antimuscarínicos a pacientes adultos con IUU que no han experimentado beneficio con un tratamiento conservador</w:t>
      </w:r>
    </w:p>
    <w:p w14:paraId="7E56C573" w14:textId="77777777" w:rsidR="004F7218" w:rsidRPr="004F7218" w:rsidRDefault="004F7218" w:rsidP="004F7218">
      <w:pPr>
        <w:pStyle w:val="radio"/>
        <w:numPr>
          <w:ilvl w:val="0"/>
          <w:numId w:val="16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 xml:space="preserve"> c) </w:t>
      </w:r>
      <w:proofErr w:type="spellStart"/>
      <w:r w:rsidRPr="004F7218">
        <w:rPr>
          <w:rFonts w:ascii="Arial" w:hAnsi="Arial" w:cs="Arial"/>
          <w:color w:val="4E5157"/>
          <w:lang w:val="es-ES"/>
        </w:rPr>
        <w:t>Fesoterodina</w:t>
      </w:r>
      <w:proofErr w:type="spellEnd"/>
      <w:r w:rsidRPr="004F7218">
        <w:rPr>
          <w:rFonts w:ascii="Arial" w:hAnsi="Arial" w:cs="Arial"/>
          <w:color w:val="4E5157"/>
          <w:lang w:val="es-ES"/>
        </w:rPr>
        <w:t xml:space="preserve">, en dosis flexible, sería el medicamento que presenta un mejor perfil beneficio-riesgo según el </w:t>
      </w:r>
      <w:proofErr w:type="spellStart"/>
      <w:r w:rsidRPr="004F7218">
        <w:rPr>
          <w:rFonts w:ascii="Arial" w:hAnsi="Arial" w:cs="Arial"/>
          <w:color w:val="4E5157"/>
          <w:lang w:val="es-ES"/>
        </w:rPr>
        <w:t>multi-criteria</w:t>
      </w:r>
      <w:proofErr w:type="spellEnd"/>
      <w:r w:rsidRPr="004F7218">
        <w:rPr>
          <w:rFonts w:ascii="Arial" w:hAnsi="Arial" w:cs="Arial"/>
          <w:color w:val="4E5157"/>
          <w:lang w:val="es-ES"/>
        </w:rPr>
        <w:t xml:space="preserve"> </w:t>
      </w:r>
      <w:proofErr w:type="spellStart"/>
      <w:r w:rsidRPr="004F7218">
        <w:rPr>
          <w:rFonts w:ascii="Arial" w:hAnsi="Arial" w:cs="Arial"/>
          <w:color w:val="4E5157"/>
          <w:lang w:val="es-ES"/>
        </w:rPr>
        <w:t>decision</w:t>
      </w:r>
      <w:proofErr w:type="spellEnd"/>
      <w:r w:rsidRPr="004F7218">
        <w:rPr>
          <w:rFonts w:ascii="Arial" w:hAnsi="Arial" w:cs="Arial"/>
          <w:color w:val="4E5157"/>
          <w:lang w:val="es-ES"/>
        </w:rPr>
        <w:t xml:space="preserve"> </w:t>
      </w:r>
      <w:proofErr w:type="spellStart"/>
      <w:r w:rsidRPr="004F7218">
        <w:rPr>
          <w:rFonts w:ascii="Arial" w:hAnsi="Arial" w:cs="Arial"/>
          <w:color w:val="4E5157"/>
          <w:lang w:val="es-ES"/>
        </w:rPr>
        <w:t>analysis</w:t>
      </w:r>
      <w:proofErr w:type="spellEnd"/>
      <w:r w:rsidRPr="004F7218">
        <w:rPr>
          <w:rFonts w:ascii="Arial" w:hAnsi="Arial" w:cs="Arial"/>
          <w:color w:val="4E5157"/>
          <w:lang w:val="es-ES"/>
        </w:rPr>
        <w:t xml:space="preserve"> (MCDA).</w:t>
      </w:r>
    </w:p>
    <w:p w14:paraId="61E1D79E" w14:textId="77777777" w:rsidR="004F7218" w:rsidRPr="004F7218" w:rsidRDefault="004F7218" w:rsidP="004F7218">
      <w:pPr>
        <w:pStyle w:val="radio"/>
        <w:numPr>
          <w:ilvl w:val="0"/>
          <w:numId w:val="16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 xml:space="preserve"> d) La </w:t>
      </w:r>
      <w:proofErr w:type="spellStart"/>
      <w:r w:rsidRPr="004F7218">
        <w:rPr>
          <w:rFonts w:ascii="Arial" w:hAnsi="Arial" w:cs="Arial"/>
          <w:color w:val="4E5157"/>
          <w:lang w:val="es-ES"/>
        </w:rPr>
        <w:t>oxibutinina</w:t>
      </w:r>
      <w:proofErr w:type="spellEnd"/>
      <w:r w:rsidRPr="004F7218">
        <w:rPr>
          <w:rFonts w:ascii="Arial" w:hAnsi="Arial" w:cs="Arial"/>
          <w:color w:val="4E5157"/>
          <w:lang w:val="es-ES"/>
        </w:rPr>
        <w:t xml:space="preserve"> puede empeorar la función cognitiva en los pacientes mayores.</w:t>
      </w:r>
    </w:p>
    <w:p w14:paraId="3019B891" w14:textId="11B2E883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 xml:space="preserve">17. ¿En qué circunstancias no sería necesario utilizar con precaución ni suprimir el uso de antimuscarínicos? </w:t>
      </w:r>
      <w:r w:rsidRPr="004F721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b/>
          <w:bCs/>
          <w:color w:val="4E5157"/>
          <w:lang w:val="es-ES"/>
        </w:rPr>
        <mc:AlternateContent>
          <mc:Choice Requires="w16se">
            <w16se:symEx w16se:font="Segoe UI Emoji" w16se:char="2639"/>
          </mc:Choice>
          <mc:Fallback>
            <w:t>☹</w:t>
          </mc:Fallback>
        </mc:AlternateContent>
      </w:r>
      <w:r>
        <w:rPr>
          <w:rFonts w:ascii="Arial" w:hAnsi="Arial" w:cs="Arial"/>
          <w:b/>
          <w:bCs/>
          <w:color w:val="4E5157"/>
          <w:lang w:val="es-ES"/>
        </w:rPr>
        <w:t xml:space="preserve"> incorrecta)</w:t>
      </w:r>
    </w:p>
    <w:p w14:paraId="65CA694A" w14:textId="77777777" w:rsidR="004F7218" w:rsidRDefault="004F7218" w:rsidP="004F7218">
      <w:pPr>
        <w:pStyle w:val="radio"/>
        <w:numPr>
          <w:ilvl w:val="0"/>
          <w:numId w:val="17"/>
        </w:numPr>
        <w:spacing w:before="150" w:beforeAutospacing="0" w:after="225" w:afterAutospacing="0"/>
        <w:rPr>
          <w:rFonts w:ascii="Arial" w:hAnsi="Arial" w:cs="Arial"/>
          <w:color w:val="4E5157"/>
        </w:rPr>
      </w:pPr>
      <w:r w:rsidRPr="004F7218">
        <w:rPr>
          <w:rFonts w:ascii="Arial" w:hAnsi="Arial" w:cs="Arial"/>
          <w:color w:val="4E5157"/>
          <w:lang w:val="es-ES"/>
        </w:rPr>
        <w:lastRenderedPageBreak/>
        <w:t> </w:t>
      </w:r>
      <w:r w:rsidRPr="004F7218">
        <w:rPr>
          <w:rFonts w:ascii="Arial" w:hAnsi="Arial" w:cs="Arial"/>
          <w:b/>
          <w:bCs/>
          <w:color w:val="4E5157"/>
        </w:rPr>
        <w:t xml:space="preserve">a) Colitis </w:t>
      </w:r>
      <w:proofErr w:type="spellStart"/>
      <w:r w:rsidRPr="004F7218">
        <w:rPr>
          <w:rFonts w:ascii="Arial" w:hAnsi="Arial" w:cs="Arial"/>
          <w:b/>
          <w:bCs/>
          <w:color w:val="4E5157"/>
        </w:rPr>
        <w:t>ulcerosa</w:t>
      </w:r>
      <w:proofErr w:type="spellEnd"/>
      <w:r>
        <w:rPr>
          <w:rFonts w:ascii="Arial" w:hAnsi="Arial" w:cs="Arial"/>
          <w:color w:val="4E5157"/>
        </w:rPr>
        <w:t>.</w:t>
      </w:r>
    </w:p>
    <w:p w14:paraId="21363B30" w14:textId="77777777" w:rsidR="004F7218" w:rsidRDefault="004F7218" w:rsidP="004F7218">
      <w:pPr>
        <w:pStyle w:val="radio"/>
        <w:numPr>
          <w:ilvl w:val="0"/>
          <w:numId w:val="17"/>
        </w:numPr>
        <w:spacing w:before="0" w:beforeAutospacing="0" w:after="225" w:afterAutospacing="0"/>
        <w:rPr>
          <w:rFonts w:ascii="Arial" w:hAnsi="Arial" w:cs="Arial"/>
          <w:color w:val="4E5157"/>
        </w:rPr>
      </w:pPr>
      <w:r>
        <w:rPr>
          <w:rFonts w:ascii="Arial" w:hAnsi="Arial" w:cs="Arial"/>
          <w:color w:val="4E5157"/>
        </w:rPr>
        <w:t xml:space="preserve"> b) </w:t>
      </w:r>
      <w:proofErr w:type="spellStart"/>
      <w:r>
        <w:rPr>
          <w:rFonts w:ascii="Arial" w:hAnsi="Arial" w:cs="Arial"/>
          <w:color w:val="4E5157"/>
        </w:rPr>
        <w:t>Miastenia</w:t>
      </w:r>
      <w:proofErr w:type="spellEnd"/>
      <w:r>
        <w:rPr>
          <w:rFonts w:ascii="Arial" w:hAnsi="Arial" w:cs="Arial"/>
          <w:color w:val="4E5157"/>
        </w:rPr>
        <w:t xml:space="preserve"> gravis.</w:t>
      </w:r>
    </w:p>
    <w:p w14:paraId="38896B37" w14:textId="77777777" w:rsidR="004F7218" w:rsidRPr="004F7218" w:rsidRDefault="004F7218" w:rsidP="004F7218">
      <w:pPr>
        <w:pStyle w:val="radio"/>
        <w:numPr>
          <w:ilvl w:val="0"/>
          <w:numId w:val="17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c) Glaucoma de ángulo estrecho.</w:t>
      </w:r>
    </w:p>
    <w:p w14:paraId="0AE30176" w14:textId="77777777" w:rsidR="004F7218" w:rsidRPr="004F7218" w:rsidRDefault="004F7218" w:rsidP="004F7218">
      <w:pPr>
        <w:pStyle w:val="radio"/>
        <w:numPr>
          <w:ilvl w:val="0"/>
          <w:numId w:val="17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 xml:space="preserve"> d) Hipertensión arterial, </w:t>
      </w:r>
      <w:proofErr w:type="spellStart"/>
      <w:r w:rsidRPr="004F7218">
        <w:rPr>
          <w:rFonts w:ascii="Arial" w:hAnsi="Arial" w:cs="Arial"/>
          <w:color w:val="4E5157"/>
          <w:lang w:val="es-ES"/>
        </w:rPr>
        <w:t>aún</w:t>
      </w:r>
      <w:proofErr w:type="spellEnd"/>
      <w:r w:rsidRPr="004F7218">
        <w:rPr>
          <w:rFonts w:ascii="Arial" w:hAnsi="Arial" w:cs="Arial"/>
          <w:color w:val="4E5157"/>
          <w:lang w:val="es-ES"/>
        </w:rPr>
        <w:t xml:space="preserve"> estando mal controlada.</w:t>
      </w:r>
    </w:p>
    <w:p w14:paraId="41BBD599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18. ¿Qué respuesta es FALSA en relación a los tratamientos farmacológicos de la VH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? :</w:t>
      </w:r>
      <w:proofErr w:type="gramEnd"/>
    </w:p>
    <w:p w14:paraId="5DFE1E3B" w14:textId="77777777" w:rsidR="004F7218" w:rsidRPr="004F7218" w:rsidRDefault="004F7218" w:rsidP="004F7218">
      <w:pPr>
        <w:pStyle w:val="radio"/>
        <w:numPr>
          <w:ilvl w:val="0"/>
          <w:numId w:val="18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 xml:space="preserve"> a) En la población mayor se desaconseja el uso de </w:t>
      </w:r>
      <w:proofErr w:type="spellStart"/>
      <w:r w:rsidRPr="004F7218">
        <w:rPr>
          <w:rFonts w:ascii="Arial" w:hAnsi="Arial" w:cs="Arial"/>
          <w:color w:val="4E5157"/>
          <w:lang w:val="es-ES"/>
        </w:rPr>
        <w:t>oxibutinina</w:t>
      </w:r>
      <w:proofErr w:type="spellEnd"/>
      <w:r w:rsidRPr="004F7218">
        <w:rPr>
          <w:rFonts w:ascii="Arial" w:hAnsi="Arial" w:cs="Arial"/>
          <w:color w:val="4E5157"/>
          <w:lang w:val="es-ES"/>
        </w:rPr>
        <w:t xml:space="preserve"> oral por presentar un mayor riesgo de producirse deterioro cognitivo.</w:t>
      </w:r>
    </w:p>
    <w:p w14:paraId="78DA9A7E" w14:textId="77777777" w:rsidR="004F7218" w:rsidRPr="004F7218" w:rsidRDefault="004F7218" w:rsidP="004F7218">
      <w:pPr>
        <w:pStyle w:val="radio"/>
        <w:numPr>
          <w:ilvl w:val="0"/>
          <w:numId w:val="18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 xml:space="preserve"> b) Si un tratamiento antimuscarínico se ha mostrado ineficaz, cabe considerar aumentar la dosis, ofrecer una formulación de un antimuscarínico alternativo o </w:t>
      </w:r>
      <w:proofErr w:type="spellStart"/>
      <w:r w:rsidRPr="004F7218">
        <w:rPr>
          <w:rFonts w:ascii="Arial" w:hAnsi="Arial" w:cs="Arial"/>
          <w:color w:val="4E5157"/>
          <w:lang w:val="es-ES"/>
        </w:rPr>
        <w:t>mirabegrón</w:t>
      </w:r>
      <w:proofErr w:type="spellEnd"/>
      <w:r w:rsidRPr="004F7218">
        <w:rPr>
          <w:rFonts w:ascii="Arial" w:hAnsi="Arial" w:cs="Arial"/>
          <w:color w:val="4E5157"/>
          <w:lang w:val="es-ES"/>
        </w:rPr>
        <w:t>, o recomendar una combinación si resultara indicada.</w:t>
      </w:r>
    </w:p>
    <w:p w14:paraId="7565C48A" w14:textId="77777777" w:rsidR="004F7218" w:rsidRPr="004F7218" w:rsidRDefault="004F7218" w:rsidP="004F7218">
      <w:pPr>
        <w:pStyle w:val="radio"/>
        <w:numPr>
          <w:ilvl w:val="0"/>
          <w:numId w:val="18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 xml:space="preserve"> c) </w:t>
      </w:r>
      <w:proofErr w:type="spellStart"/>
      <w:r w:rsidRPr="004F7218">
        <w:rPr>
          <w:rFonts w:ascii="Arial" w:hAnsi="Arial" w:cs="Arial"/>
          <w:color w:val="4E5157"/>
          <w:lang w:val="es-ES"/>
        </w:rPr>
        <w:t>Fesoterodina</w:t>
      </w:r>
      <w:proofErr w:type="spellEnd"/>
      <w:r w:rsidRPr="004F7218">
        <w:rPr>
          <w:rFonts w:ascii="Arial" w:hAnsi="Arial" w:cs="Arial"/>
          <w:color w:val="4E5157"/>
          <w:lang w:val="es-ES"/>
        </w:rPr>
        <w:t>, según la revisión LUTS-FORTA, es el único fármaco que se ha clasificado con nivel B (beneficioso), en el tratamiento del paciente mayor afecto de VH.</w:t>
      </w:r>
    </w:p>
    <w:p w14:paraId="5C31CA35" w14:textId="77777777" w:rsidR="004F7218" w:rsidRPr="004F7218" w:rsidRDefault="004F7218" w:rsidP="004F7218">
      <w:pPr>
        <w:pStyle w:val="radio"/>
        <w:numPr>
          <w:ilvl w:val="0"/>
          <w:numId w:val="18"/>
        </w:numPr>
        <w:spacing w:before="0" w:beforeAutospacing="0" w:after="0" w:afterAutospacing="0"/>
        <w:rPr>
          <w:rFonts w:ascii="Arial" w:hAnsi="Arial" w:cs="Arial"/>
          <w:color w:val="4E5157"/>
          <w:u w:val="single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 w:rsidRPr="004F7218">
        <w:rPr>
          <w:rFonts w:ascii="Arial" w:hAnsi="Arial" w:cs="Arial"/>
          <w:color w:val="4E5157"/>
          <w:u w:val="single"/>
          <w:lang w:val="es-ES"/>
        </w:rPr>
        <w:t xml:space="preserve">d) </w:t>
      </w:r>
      <w:proofErr w:type="spellStart"/>
      <w:r w:rsidRPr="004F7218">
        <w:rPr>
          <w:rFonts w:ascii="Arial" w:hAnsi="Arial" w:cs="Arial"/>
          <w:color w:val="4E5157"/>
          <w:u w:val="single"/>
          <w:lang w:val="es-ES"/>
        </w:rPr>
        <w:t>Mirabegrón</w:t>
      </w:r>
      <w:proofErr w:type="spellEnd"/>
      <w:r w:rsidRPr="004F7218">
        <w:rPr>
          <w:rFonts w:ascii="Arial" w:hAnsi="Arial" w:cs="Arial"/>
          <w:color w:val="4E5157"/>
          <w:u w:val="single"/>
          <w:lang w:val="es-ES"/>
        </w:rPr>
        <w:t xml:space="preserve"> no se ha asociado, en ningún caso, con la aparición de estados confusionales.</w:t>
      </w:r>
    </w:p>
    <w:p w14:paraId="7D2738A1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>19. ¿Qué medicamento dispone de evidencia clínica de su uso en pacientes vulnerables y ha demostrado mayor eficacia que el placebo con una aceptable tolerabilidad en este tipo de pacientes</w:t>
      </w:r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? :</w:t>
      </w:r>
      <w:proofErr w:type="gramEnd"/>
    </w:p>
    <w:p w14:paraId="64B46F79" w14:textId="77777777" w:rsidR="004F7218" w:rsidRDefault="004F7218" w:rsidP="004F7218">
      <w:pPr>
        <w:pStyle w:val="radio"/>
        <w:numPr>
          <w:ilvl w:val="0"/>
          <w:numId w:val="19"/>
        </w:numPr>
        <w:spacing w:before="150" w:beforeAutospacing="0" w:after="225" w:afterAutospacing="0"/>
        <w:rPr>
          <w:rFonts w:ascii="Arial" w:hAnsi="Arial" w:cs="Arial"/>
          <w:color w:val="4E5157"/>
        </w:rPr>
      </w:pPr>
      <w:r w:rsidRPr="004F7218">
        <w:rPr>
          <w:rFonts w:ascii="Arial" w:hAnsi="Arial" w:cs="Arial"/>
          <w:color w:val="4E5157"/>
          <w:lang w:val="es-ES"/>
        </w:rPr>
        <w:t> </w:t>
      </w:r>
      <w:r>
        <w:rPr>
          <w:rFonts w:ascii="Arial" w:hAnsi="Arial" w:cs="Arial"/>
          <w:color w:val="4E5157"/>
        </w:rPr>
        <w:t xml:space="preserve">a) </w:t>
      </w:r>
      <w:proofErr w:type="spellStart"/>
      <w:r>
        <w:rPr>
          <w:rFonts w:ascii="Arial" w:hAnsi="Arial" w:cs="Arial"/>
          <w:color w:val="4E5157"/>
        </w:rPr>
        <w:t>Mirabegrón</w:t>
      </w:r>
      <w:proofErr w:type="spellEnd"/>
      <w:r>
        <w:rPr>
          <w:rFonts w:ascii="Arial" w:hAnsi="Arial" w:cs="Arial"/>
          <w:color w:val="4E5157"/>
        </w:rPr>
        <w:t>.</w:t>
      </w:r>
    </w:p>
    <w:p w14:paraId="79255FE0" w14:textId="77777777" w:rsidR="004F7218" w:rsidRDefault="004F7218" w:rsidP="004F7218">
      <w:pPr>
        <w:pStyle w:val="radio"/>
        <w:numPr>
          <w:ilvl w:val="0"/>
          <w:numId w:val="19"/>
        </w:numPr>
        <w:spacing w:before="0" w:beforeAutospacing="0" w:after="225" w:afterAutospacing="0"/>
        <w:rPr>
          <w:rFonts w:ascii="Arial" w:hAnsi="Arial" w:cs="Arial"/>
          <w:color w:val="4E5157"/>
        </w:rPr>
      </w:pPr>
      <w:r w:rsidRPr="004F7218">
        <w:rPr>
          <w:rFonts w:ascii="Arial" w:hAnsi="Arial" w:cs="Arial"/>
          <w:color w:val="4E5157"/>
          <w:u w:val="single"/>
        </w:rPr>
        <w:t xml:space="preserve"> b) </w:t>
      </w:r>
      <w:proofErr w:type="spellStart"/>
      <w:r w:rsidRPr="004F7218">
        <w:rPr>
          <w:rFonts w:ascii="Arial" w:hAnsi="Arial" w:cs="Arial"/>
          <w:color w:val="4E5157"/>
          <w:u w:val="single"/>
        </w:rPr>
        <w:t>Fesoterodina</w:t>
      </w:r>
      <w:proofErr w:type="spellEnd"/>
      <w:r>
        <w:rPr>
          <w:rFonts w:ascii="Arial" w:hAnsi="Arial" w:cs="Arial"/>
          <w:color w:val="4E5157"/>
        </w:rPr>
        <w:t>.</w:t>
      </w:r>
    </w:p>
    <w:p w14:paraId="29DC1C4C" w14:textId="77777777" w:rsidR="004F7218" w:rsidRDefault="004F7218" w:rsidP="004F7218">
      <w:pPr>
        <w:pStyle w:val="radio"/>
        <w:numPr>
          <w:ilvl w:val="0"/>
          <w:numId w:val="19"/>
        </w:numPr>
        <w:spacing w:before="0" w:beforeAutospacing="0" w:after="225" w:afterAutospacing="0"/>
        <w:rPr>
          <w:rFonts w:ascii="Arial" w:hAnsi="Arial" w:cs="Arial"/>
          <w:color w:val="4E5157"/>
        </w:rPr>
      </w:pPr>
      <w:r>
        <w:rPr>
          <w:rFonts w:ascii="Arial" w:hAnsi="Arial" w:cs="Arial"/>
          <w:color w:val="4E5157"/>
        </w:rPr>
        <w:t xml:space="preserve"> c) </w:t>
      </w:r>
      <w:proofErr w:type="spellStart"/>
      <w:r>
        <w:rPr>
          <w:rFonts w:ascii="Arial" w:hAnsi="Arial" w:cs="Arial"/>
          <w:color w:val="4E5157"/>
        </w:rPr>
        <w:t>Propiverina</w:t>
      </w:r>
      <w:proofErr w:type="spellEnd"/>
      <w:r>
        <w:rPr>
          <w:rFonts w:ascii="Arial" w:hAnsi="Arial" w:cs="Arial"/>
          <w:color w:val="4E5157"/>
        </w:rPr>
        <w:t>.</w:t>
      </w:r>
    </w:p>
    <w:p w14:paraId="7C365643" w14:textId="77777777" w:rsidR="004F7218" w:rsidRDefault="004F7218" w:rsidP="004F7218">
      <w:pPr>
        <w:pStyle w:val="radio"/>
        <w:numPr>
          <w:ilvl w:val="0"/>
          <w:numId w:val="19"/>
        </w:numPr>
        <w:spacing w:before="0" w:beforeAutospacing="0" w:after="0" w:afterAutospacing="0"/>
        <w:rPr>
          <w:rFonts w:ascii="Arial" w:hAnsi="Arial" w:cs="Arial"/>
          <w:color w:val="4E5157"/>
        </w:rPr>
      </w:pPr>
      <w:r>
        <w:rPr>
          <w:rFonts w:ascii="Arial" w:hAnsi="Arial" w:cs="Arial"/>
          <w:color w:val="4E5157"/>
        </w:rPr>
        <w:t xml:space="preserve"> d) </w:t>
      </w:r>
      <w:proofErr w:type="spellStart"/>
      <w:r>
        <w:rPr>
          <w:rFonts w:ascii="Arial" w:hAnsi="Arial" w:cs="Arial"/>
          <w:color w:val="4E5157"/>
        </w:rPr>
        <w:t>Solifenacina</w:t>
      </w:r>
      <w:proofErr w:type="spellEnd"/>
      <w:r>
        <w:rPr>
          <w:rFonts w:ascii="Arial" w:hAnsi="Arial" w:cs="Arial"/>
          <w:color w:val="4E5157"/>
        </w:rPr>
        <w:t>.</w:t>
      </w:r>
    </w:p>
    <w:p w14:paraId="4B98538E" w14:textId="77777777" w:rsidR="004F7218" w:rsidRPr="004F7218" w:rsidRDefault="004F7218" w:rsidP="004F7218">
      <w:pPr>
        <w:pStyle w:val="exam-question-title"/>
        <w:spacing w:before="0" w:beforeAutospacing="0" w:after="225" w:afterAutospacing="0"/>
        <w:rPr>
          <w:rFonts w:ascii="Arial" w:hAnsi="Arial" w:cs="Arial"/>
          <w:b/>
          <w:bCs/>
          <w:color w:val="4E5157"/>
          <w:lang w:val="es-ES"/>
        </w:rPr>
      </w:pPr>
      <w:r w:rsidRPr="004F7218">
        <w:rPr>
          <w:rFonts w:ascii="Arial" w:hAnsi="Arial" w:cs="Arial"/>
          <w:b/>
          <w:bCs/>
          <w:color w:val="4E5157"/>
          <w:lang w:val="es-ES"/>
        </w:rPr>
        <w:t xml:space="preserve">20. ¿Qué repuesta es FALSA, en relación a </w:t>
      </w:r>
      <w:proofErr w:type="spellStart"/>
      <w:r w:rsidRPr="004F7218">
        <w:rPr>
          <w:rFonts w:ascii="Arial" w:hAnsi="Arial" w:cs="Arial"/>
          <w:b/>
          <w:bCs/>
          <w:color w:val="4E5157"/>
          <w:lang w:val="es-ES"/>
        </w:rPr>
        <w:t>mirabegrón</w:t>
      </w:r>
      <w:proofErr w:type="spellEnd"/>
      <w:proofErr w:type="gramStart"/>
      <w:r w:rsidRPr="004F7218">
        <w:rPr>
          <w:rFonts w:ascii="Arial" w:hAnsi="Arial" w:cs="Arial"/>
          <w:b/>
          <w:bCs/>
          <w:color w:val="4E5157"/>
          <w:lang w:val="es-ES"/>
        </w:rPr>
        <w:t>? :</w:t>
      </w:r>
      <w:proofErr w:type="gramEnd"/>
    </w:p>
    <w:p w14:paraId="2DCA5B4F" w14:textId="77777777" w:rsidR="004F7218" w:rsidRPr="004F7218" w:rsidRDefault="004F7218" w:rsidP="004F7218">
      <w:pPr>
        <w:pStyle w:val="radio"/>
        <w:numPr>
          <w:ilvl w:val="0"/>
          <w:numId w:val="20"/>
        </w:numPr>
        <w:spacing w:before="15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a) Es preciso tener un control especial en los pacientes con tendencia a la hipertensión, por lo que se recomienda monitorizar la tensión arterial antes de iniciar el tratamiento y periódicamente durante el mismo.</w:t>
      </w:r>
    </w:p>
    <w:p w14:paraId="471DAEAE" w14:textId="77777777" w:rsidR="004F7218" w:rsidRPr="004F7218" w:rsidRDefault="004F7218" w:rsidP="004F7218">
      <w:pPr>
        <w:pStyle w:val="radio"/>
        <w:numPr>
          <w:ilvl w:val="0"/>
          <w:numId w:val="20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 xml:space="preserve"> b) Está contraindicado el uso de </w:t>
      </w:r>
      <w:proofErr w:type="spellStart"/>
      <w:r w:rsidRPr="004F7218">
        <w:rPr>
          <w:rFonts w:ascii="Arial" w:hAnsi="Arial" w:cs="Arial"/>
          <w:color w:val="4E5157"/>
          <w:lang w:val="es-ES"/>
        </w:rPr>
        <w:t>mirabegrón</w:t>
      </w:r>
      <w:proofErr w:type="spellEnd"/>
      <w:r w:rsidRPr="004F7218">
        <w:rPr>
          <w:rFonts w:ascii="Arial" w:hAnsi="Arial" w:cs="Arial"/>
          <w:color w:val="4E5157"/>
          <w:lang w:val="es-ES"/>
        </w:rPr>
        <w:t xml:space="preserve"> en aquellos pacientes con presión arterial sistólica ≥180 mm Hg y/o presión arterial diastólica ≥110 mm Hg</w:t>
      </w:r>
    </w:p>
    <w:p w14:paraId="58C31FE7" w14:textId="77777777" w:rsidR="004F7218" w:rsidRPr="004F7218" w:rsidRDefault="004F7218" w:rsidP="004F7218">
      <w:pPr>
        <w:pStyle w:val="radio"/>
        <w:numPr>
          <w:ilvl w:val="0"/>
          <w:numId w:val="20"/>
        </w:numPr>
        <w:spacing w:before="0" w:beforeAutospacing="0" w:after="225" w:afterAutospacing="0"/>
        <w:rPr>
          <w:rFonts w:ascii="Arial" w:hAnsi="Arial" w:cs="Arial"/>
          <w:color w:val="4E5157"/>
          <w:lang w:val="es-ES"/>
        </w:rPr>
      </w:pPr>
      <w:r w:rsidRPr="004F7218">
        <w:rPr>
          <w:rFonts w:ascii="Arial" w:hAnsi="Arial" w:cs="Arial"/>
          <w:color w:val="4E5157"/>
          <w:lang w:val="es-ES"/>
        </w:rPr>
        <w:t> c) Se utilizará con precaución en pacientes con prolongación del intervalo QT</w:t>
      </w:r>
    </w:p>
    <w:p w14:paraId="50ABC0D3" w14:textId="77777777" w:rsidR="004F7218" w:rsidRPr="004F7218" w:rsidRDefault="004F7218" w:rsidP="004F7218">
      <w:pPr>
        <w:pStyle w:val="radio"/>
        <w:numPr>
          <w:ilvl w:val="0"/>
          <w:numId w:val="20"/>
        </w:numPr>
        <w:spacing w:before="0" w:beforeAutospacing="0" w:after="0" w:afterAutospacing="0"/>
        <w:rPr>
          <w:rFonts w:ascii="Arial" w:hAnsi="Arial" w:cs="Arial"/>
          <w:color w:val="4E5157"/>
          <w:lang w:val="es-ES"/>
        </w:rPr>
      </w:pPr>
      <w:bookmarkStart w:id="0" w:name="_GoBack"/>
      <w:r w:rsidRPr="004F7218">
        <w:rPr>
          <w:rFonts w:ascii="Arial" w:hAnsi="Arial" w:cs="Arial"/>
          <w:color w:val="4E5157"/>
          <w:u w:val="single"/>
          <w:lang w:val="es-ES"/>
        </w:rPr>
        <w:t xml:space="preserve"> d) La taquicardia no es un efecto adverso frecuente en el tratamiento de la VH con </w:t>
      </w:r>
      <w:proofErr w:type="spellStart"/>
      <w:r w:rsidRPr="004F7218">
        <w:rPr>
          <w:rFonts w:ascii="Arial" w:hAnsi="Arial" w:cs="Arial"/>
          <w:color w:val="4E5157"/>
          <w:u w:val="single"/>
          <w:lang w:val="es-ES"/>
        </w:rPr>
        <w:t>mirabegrón</w:t>
      </w:r>
      <w:bookmarkEnd w:id="0"/>
      <w:proofErr w:type="spellEnd"/>
      <w:r w:rsidRPr="004F7218">
        <w:rPr>
          <w:rFonts w:ascii="Arial" w:hAnsi="Arial" w:cs="Arial"/>
          <w:color w:val="4E5157"/>
          <w:lang w:val="es-ES"/>
        </w:rPr>
        <w:t>.</w:t>
      </w:r>
    </w:p>
    <w:p w14:paraId="68114BAC" w14:textId="77777777" w:rsidR="00F67CF5" w:rsidRPr="004F7218" w:rsidRDefault="00F67CF5">
      <w:pPr>
        <w:rPr>
          <w:lang w:val="es-ES"/>
        </w:rPr>
      </w:pPr>
    </w:p>
    <w:sectPr w:rsidR="00F67CF5" w:rsidRPr="004F72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C7585"/>
    <w:multiLevelType w:val="multilevel"/>
    <w:tmpl w:val="70F0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77488"/>
    <w:multiLevelType w:val="multilevel"/>
    <w:tmpl w:val="98160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CB550A"/>
    <w:multiLevelType w:val="multilevel"/>
    <w:tmpl w:val="7486C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AF43D3"/>
    <w:multiLevelType w:val="multilevel"/>
    <w:tmpl w:val="7C10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040136"/>
    <w:multiLevelType w:val="multilevel"/>
    <w:tmpl w:val="5A665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91F9C"/>
    <w:multiLevelType w:val="multilevel"/>
    <w:tmpl w:val="D6D8B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2F2E6E"/>
    <w:multiLevelType w:val="multilevel"/>
    <w:tmpl w:val="CC58D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5F658C"/>
    <w:multiLevelType w:val="multilevel"/>
    <w:tmpl w:val="FB5C7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D704BE"/>
    <w:multiLevelType w:val="multilevel"/>
    <w:tmpl w:val="391A1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FE5C1E"/>
    <w:multiLevelType w:val="multilevel"/>
    <w:tmpl w:val="56EAD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174CC0"/>
    <w:multiLevelType w:val="multilevel"/>
    <w:tmpl w:val="46B8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471189"/>
    <w:multiLevelType w:val="multilevel"/>
    <w:tmpl w:val="D75C7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D20474"/>
    <w:multiLevelType w:val="multilevel"/>
    <w:tmpl w:val="24A6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2B3209"/>
    <w:multiLevelType w:val="multilevel"/>
    <w:tmpl w:val="5E3E0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2B69CD"/>
    <w:multiLevelType w:val="multilevel"/>
    <w:tmpl w:val="78F8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E53F1A"/>
    <w:multiLevelType w:val="multilevel"/>
    <w:tmpl w:val="FEB03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22490"/>
    <w:multiLevelType w:val="multilevel"/>
    <w:tmpl w:val="9FC6D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237FFD"/>
    <w:multiLevelType w:val="multilevel"/>
    <w:tmpl w:val="BED8E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1630DE"/>
    <w:multiLevelType w:val="multilevel"/>
    <w:tmpl w:val="D786C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43002F"/>
    <w:multiLevelType w:val="multilevel"/>
    <w:tmpl w:val="6C429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6"/>
  </w:num>
  <w:num w:numId="4">
    <w:abstractNumId w:val="12"/>
  </w:num>
  <w:num w:numId="5">
    <w:abstractNumId w:val="5"/>
  </w:num>
  <w:num w:numId="6">
    <w:abstractNumId w:val="9"/>
  </w:num>
  <w:num w:numId="7">
    <w:abstractNumId w:val="8"/>
  </w:num>
  <w:num w:numId="8">
    <w:abstractNumId w:val="13"/>
  </w:num>
  <w:num w:numId="9">
    <w:abstractNumId w:val="7"/>
  </w:num>
  <w:num w:numId="10">
    <w:abstractNumId w:val="16"/>
  </w:num>
  <w:num w:numId="11">
    <w:abstractNumId w:val="15"/>
  </w:num>
  <w:num w:numId="12">
    <w:abstractNumId w:val="11"/>
  </w:num>
  <w:num w:numId="13">
    <w:abstractNumId w:val="14"/>
  </w:num>
  <w:num w:numId="14">
    <w:abstractNumId w:val="3"/>
  </w:num>
  <w:num w:numId="15">
    <w:abstractNumId w:val="17"/>
  </w:num>
  <w:num w:numId="16">
    <w:abstractNumId w:val="10"/>
  </w:num>
  <w:num w:numId="17">
    <w:abstractNumId w:val="19"/>
  </w:num>
  <w:num w:numId="18">
    <w:abstractNumId w:val="1"/>
  </w:num>
  <w:num w:numId="19">
    <w:abstractNumId w:val="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218"/>
    <w:rsid w:val="004F7218"/>
    <w:rsid w:val="00F6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85C09"/>
  <w15:chartTrackingRefBased/>
  <w15:docId w15:val="{CDD6C2FB-EF39-41D7-A88F-5922DC82A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nel-message-title">
    <w:name w:val="panel-message-title"/>
    <w:basedOn w:val="Normal"/>
    <w:rsid w:val="004F7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nel-message-text">
    <w:name w:val="panel-message-text"/>
    <w:basedOn w:val="DefaultParagraphFont"/>
    <w:rsid w:val="004F7218"/>
  </w:style>
  <w:style w:type="paragraph" w:customStyle="1" w:styleId="panel-message-subtitle">
    <w:name w:val="panel-message-subtitle"/>
    <w:basedOn w:val="Normal"/>
    <w:rsid w:val="004F7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am-title">
    <w:name w:val="exam-title"/>
    <w:basedOn w:val="Normal"/>
    <w:rsid w:val="004F7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am-question-title">
    <w:name w:val="exam-question-title"/>
    <w:basedOn w:val="Normal"/>
    <w:rsid w:val="004F7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o">
    <w:name w:val="radio"/>
    <w:basedOn w:val="Normal"/>
    <w:rsid w:val="004F7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5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36">
          <w:marLeft w:val="0"/>
          <w:marRight w:val="0"/>
          <w:marTop w:val="0"/>
          <w:marBottom w:val="600"/>
          <w:divBdr>
            <w:top w:val="single" w:sz="6" w:space="15" w:color="AACDE9"/>
            <w:left w:val="single" w:sz="6" w:space="30" w:color="AACDE9"/>
            <w:bottom w:val="single" w:sz="6" w:space="15" w:color="AACDE9"/>
            <w:right w:val="single" w:sz="6" w:space="30" w:color="AACDE9"/>
          </w:divBdr>
        </w:div>
        <w:div w:id="18634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1</cp:revision>
  <dcterms:created xsi:type="dcterms:W3CDTF">2019-11-13T21:32:00Z</dcterms:created>
  <dcterms:modified xsi:type="dcterms:W3CDTF">2019-11-13T21:38:00Z</dcterms:modified>
</cp:coreProperties>
</file>